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山东第一医科大学（山东省医学科学院）科教融合人才提升杰青团队建设试剂耗材采购（305）</w:t>
      </w:r>
      <w:r>
        <w:rPr>
          <w:rFonts w:hint="eastAsia" w:ascii="仿宋" w:hAnsi="仿宋" w:cs="仿宋"/>
          <w:b/>
          <w:sz w:val="44"/>
          <w:szCs w:val="44"/>
        </w:rPr>
        <w:t>公开招标文件</w:t>
      </w:r>
    </w:p>
    <w:p>
      <w:pPr>
        <w:ind w:firstLine="0" w:firstLineChars="0"/>
        <w:rPr>
          <w:rFonts w:ascii="仿宋" w:hAnsi="仿宋" w:cs="仿宋"/>
        </w:rPr>
      </w:pPr>
    </w:p>
    <w:p>
      <w:pPr>
        <w:ind w:left="1048" w:leftChars="-100" w:hanging="1288" w:hangingChars="401"/>
        <w:jc w:val="center"/>
        <w:rPr>
          <w:rFonts w:ascii="仿宋" w:hAnsi="仿宋" w:cs="仿宋"/>
          <w:b/>
          <w:sz w:val="36"/>
          <w:szCs w:val="36"/>
          <w:u w:val="single"/>
        </w:rPr>
      </w:pPr>
      <w:r>
        <w:rPr>
          <w:rFonts w:hint="eastAsia" w:ascii="仿宋" w:hAnsi="仿宋" w:cs="仿宋"/>
          <w:b/>
          <w:sz w:val="32"/>
          <w:szCs w:val="32"/>
        </w:rPr>
        <w:t>项目编号：SDGP370000000202302009405/sdhryw2023305</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仿宋" w:hAnsi="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二〇二三年十</w:t>
      </w:r>
      <w:r>
        <w:rPr>
          <w:rFonts w:hint="eastAsia" w:ascii="仿宋" w:hAnsi="仿宋" w:cs="仿宋"/>
          <w:b/>
          <w:sz w:val="36"/>
          <w:szCs w:val="36"/>
          <w:u w:val="single"/>
          <w:lang w:eastAsia="zh-CN"/>
        </w:rPr>
        <w:t>一</w:t>
      </w:r>
      <w:bookmarkStart w:id="18" w:name="_GoBack"/>
      <w:bookmarkEnd w:id="18"/>
      <w:r>
        <w:rPr>
          <w:rFonts w:hint="eastAsia" w:ascii="仿宋" w:hAnsi="仿宋" w:cs="仿宋"/>
          <w:b/>
          <w:sz w:val="36"/>
          <w:szCs w:val="36"/>
          <w:u w:val="single"/>
        </w:rPr>
        <w:t>月</w:t>
      </w:r>
    </w:p>
    <w:p>
      <w:pPr>
        <w:pStyle w:val="33"/>
        <w:ind w:firstLine="0" w:firstLineChars="0"/>
        <w:jc w:val="center"/>
        <w:rPr>
          <w:rFonts w:ascii="仿宋" w:hAnsi="仿宋" w:cs="仿宋"/>
          <w:b/>
          <w:sz w:val="32"/>
          <w:szCs w:val="28"/>
        </w:rPr>
      </w:pPr>
      <w:r>
        <w:rPr>
          <w:rFonts w:hint="eastAsia" w:ascii="仿宋" w:hAnsi="仿宋" w:cs="仿宋"/>
          <w:b/>
          <w:sz w:val="32"/>
          <w:szCs w:val="28"/>
        </w:rPr>
        <w:t>目  录</w:t>
      </w:r>
    </w:p>
    <w:p>
      <w:pPr>
        <w:pStyle w:val="33"/>
        <w:spacing w:line="360" w:lineRule="auto"/>
        <w:ind w:firstLine="0" w:firstLineChars="0"/>
        <w:rPr>
          <w:rFonts w:ascii="仿宋" w:hAnsi="仿宋" w:cs="仿宋"/>
          <w:b/>
          <w:sz w:val="28"/>
          <w:szCs w:val="28"/>
        </w:rPr>
      </w:pPr>
      <w:bookmarkStart w:id="0" w:name="_Toc106784518"/>
      <w:r>
        <w:rPr>
          <w:rFonts w:hint="eastAsia" w:ascii="仿宋" w:hAnsi="仿宋" w:cs="仿宋"/>
          <w:b/>
          <w:sz w:val="28"/>
          <w:szCs w:val="28"/>
        </w:rPr>
        <w:t>第一册  通用部分</w:t>
      </w:r>
    </w:p>
    <w:p>
      <w:pPr>
        <w:pStyle w:val="33"/>
        <w:spacing w:line="360" w:lineRule="auto"/>
        <w:ind w:firstLine="482"/>
        <w:rPr>
          <w:rFonts w:ascii="仿宋" w:hAnsi="仿宋" w:cs="仿宋"/>
          <w:b/>
        </w:rPr>
      </w:pPr>
      <w:r>
        <w:rPr>
          <w:rFonts w:hint="eastAsia" w:ascii="仿宋" w:hAnsi="仿宋" w:cs="仿宋"/>
          <w:b/>
        </w:rPr>
        <w:t>第一部分   投标人须知</w:t>
      </w:r>
    </w:p>
    <w:p>
      <w:pPr>
        <w:pStyle w:val="33"/>
        <w:spacing w:line="360" w:lineRule="auto"/>
        <w:ind w:firstLine="482"/>
        <w:rPr>
          <w:rFonts w:ascii="仿宋" w:hAnsi="仿宋" w:cs="仿宋"/>
          <w:b/>
        </w:rPr>
      </w:pPr>
      <w:r>
        <w:rPr>
          <w:rFonts w:hint="eastAsia" w:ascii="仿宋" w:hAnsi="仿宋" w:cs="仿宋"/>
          <w:b/>
        </w:rPr>
        <w:t>第二部分   政府采购合同格式</w:t>
      </w:r>
    </w:p>
    <w:p>
      <w:pPr>
        <w:pStyle w:val="33"/>
        <w:spacing w:line="360" w:lineRule="auto"/>
        <w:ind w:firstLine="482"/>
        <w:rPr>
          <w:rFonts w:ascii="仿宋" w:hAnsi="仿宋" w:cs="仿宋"/>
          <w:b/>
        </w:rPr>
      </w:pPr>
      <w:r>
        <w:rPr>
          <w:rFonts w:hint="eastAsia" w:ascii="仿宋" w:hAnsi="仿宋" w:cs="仿宋"/>
          <w:b/>
        </w:rPr>
        <w:t>第三部分   投标文件格式</w:t>
      </w:r>
    </w:p>
    <w:p>
      <w:pPr>
        <w:pStyle w:val="33"/>
        <w:spacing w:line="360" w:lineRule="auto"/>
        <w:ind w:firstLine="482"/>
        <w:rPr>
          <w:rFonts w:ascii="仿宋" w:hAnsi="仿宋" w:cs="仿宋"/>
          <w:b/>
        </w:rPr>
      </w:pPr>
      <w:r>
        <w:rPr>
          <w:rFonts w:hint="eastAsia" w:ascii="仿宋" w:hAnsi="仿宋" w:cs="仿宋"/>
          <w:b/>
        </w:rPr>
        <w:t>第四部分   附件</w:t>
      </w:r>
    </w:p>
    <w:p>
      <w:pPr>
        <w:pStyle w:val="33"/>
        <w:ind w:firstLine="0" w:firstLineChars="0"/>
        <w:rPr>
          <w:rFonts w:ascii="仿宋" w:hAnsi="仿宋" w:cs="仿宋"/>
        </w:rPr>
      </w:pPr>
    </w:p>
    <w:p>
      <w:pPr>
        <w:pStyle w:val="33"/>
        <w:ind w:firstLine="0" w:firstLineChars="0"/>
        <w:rPr>
          <w:rFonts w:ascii="仿宋" w:hAnsi="仿宋" w:cs="仿宋"/>
        </w:rPr>
      </w:pPr>
    </w:p>
    <w:p>
      <w:pPr>
        <w:pStyle w:val="33"/>
        <w:spacing w:line="360" w:lineRule="auto"/>
        <w:ind w:firstLine="0" w:firstLineChars="0"/>
        <w:rPr>
          <w:rFonts w:ascii="仿宋" w:hAnsi="仿宋" w:cs="仿宋"/>
          <w:b/>
          <w:sz w:val="28"/>
          <w:szCs w:val="28"/>
        </w:rPr>
      </w:pPr>
      <w:r>
        <w:rPr>
          <w:rFonts w:hint="eastAsia" w:ascii="仿宋" w:hAnsi="仿宋" w:cs="仿宋"/>
          <w:b/>
          <w:sz w:val="28"/>
          <w:szCs w:val="28"/>
        </w:rPr>
        <w:t>第二册  项目专用部分（本册）</w:t>
      </w:r>
    </w:p>
    <w:p>
      <w:pPr>
        <w:pStyle w:val="19"/>
        <w:tabs>
          <w:tab w:val="right" w:leader="dot" w:pos="9629"/>
        </w:tabs>
        <w:ind w:firstLine="480"/>
        <w:rPr>
          <w:rFonts w:ascii="仿宋" w:hAnsi="仿宋" w:cs="仿宋"/>
          <w:sz w:val="21"/>
          <w:szCs w:val="22"/>
        </w:rPr>
      </w:pPr>
      <w:r>
        <w:rPr>
          <w:rFonts w:hint="eastAsia" w:ascii="仿宋" w:hAnsi="仿宋" w:cs="仿宋"/>
        </w:rPr>
        <w:fldChar w:fldCharType="begin"/>
      </w:r>
      <w:r>
        <w:rPr>
          <w:rFonts w:hint="eastAsia" w:ascii="仿宋" w:hAnsi="仿宋" w:cs="仿宋"/>
        </w:rPr>
        <w:instrText xml:space="preserve"> TOC \o "1-2" \h \z \u </w:instrText>
      </w:r>
      <w:r>
        <w:rPr>
          <w:rFonts w:hint="eastAsia" w:ascii="仿宋" w:hAnsi="仿宋" w:cs="仿宋"/>
        </w:rPr>
        <w:fldChar w:fldCharType="separate"/>
      </w:r>
      <w:r>
        <w:fldChar w:fldCharType="begin"/>
      </w:r>
      <w:r>
        <w:instrText xml:space="preserve"> HYPERLINK \l "_Toc106784591" </w:instrText>
      </w:r>
      <w:r>
        <w:fldChar w:fldCharType="separate"/>
      </w:r>
      <w:r>
        <w:rPr>
          <w:rStyle w:val="27"/>
          <w:rFonts w:hint="eastAsia" w:ascii="仿宋" w:hAnsi="仿宋" w:cs="仿宋"/>
          <w:b/>
          <w:color w:val="auto"/>
        </w:rPr>
        <w:t>第五部分 投标邀请</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_Toc106784591 \h </w:instrText>
      </w:r>
      <w:r>
        <w:rPr>
          <w:rFonts w:hint="eastAsia" w:ascii="仿宋" w:hAnsi="仿宋" w:cs="仿宋"/>
        </w:rPr>
        <w:fldChar w:fldCharType="separate"/>
      </w:r>
      <w:r>
        <w:rPr>
          <w:rFonts w:hint="eastAsia" w:ascii="仿宋" w:hAnsi="仿宋" w:cs="仿宋"/>
        </w:rPr>
        <w:t>3</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"_Toc106784592" </w:instrText>
      </w:r>
      <w:r>
        <w:fldChar w:fldCharType="separate"/>
      </w:r>
      <w:r>
        <w:rPr>
          <w:rStyle w:val="27"/>
          <w:rFonts w:hint="eastAsia" w:ascii="仿宋" w:hAnsi="仿宋" w:cs="仿宋"/>
          <w:b/>
          <w:color w:val="auto"/>
        </w:rPr>
        <w:t>第六部分投标人须知附表</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_Toc106784592 \h </w:instrText>
      </w:r>
      <w:r>
        <w:rPr>
          <w:rFonts w:hint="eastAsia" w:ascii="仿宋" w:hAnsi="仿宋" w:cs="仿宋"/>
        </w:rPr>
        <w:fldChar w:fldCharType="separate"/>
      </w:r>
      <w:r>
        <w:rPr>
          <w:rFonts w:hint="eastAsia" w:ascii="仿宋" w:hAnsi="仿宋" w:cs="仿宋"/>
        </w:rPr>
        <w:t>5</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"_Toc106784593" </w:instrText>
      </w:r>
      <w:r>
        <w:fldChar w:fldCharType="separate"/>
      </w:r>
      <w:r>
        <w:rPr>
          <w:rStyle w:val="27"/>
          <w:rFonts w:hint="eastAsia" w:ascii="仿宋" w:hAnsi="仿宋" w:cs="仿宋"/>
          <w:b/>
          <w:color w:val="auto"/>
        </w:rPr>
        <w:t>第七部分评标方法和评分细则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_Toc106784593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"_Toc106784594" </w:instrText>
      </w:r>
      <w:r>
        <w:fldChar w:fldCharType="separate"/>
      </w:r>
      <w:r>
        <w:rPr>
          <w:rStyle w:val="27"/>
          <w:rFonts w:hint="eastAsia" w:ascii="仿宋" w:hAnsi="仿宋" w:cs="仿宋"/>
          <w:b/>
          <w:color w:val="auto"/>
        </w:rPr>
        <w:t>一、评标方法</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_Toc106784594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"_Toc106784595" </w:instrText>
      </w:r>
      <w:r>
        <w:fldChar w:fldCharType="separate"/>
      </w:r>
      <w:r>
        <w:rPr>
          <w:rStyle w:val="27"/>
          <w:rFonts w:hint="eastAsia" w:ascii="仿宋" w:hAnsi="仿宋" w:cs="仿宋"/>
          <w:b/>
          <w:color w:val="auto"/>
        </w:rPr>
        <w:t>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_Toc106784595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21"/>
        <w:tabs>
          <w:tab w:val="right" w:leader="dot" w:pos="9629"/>
        </w:tabs>
        <w:ind w:left="480" w:firstLine="480"/>
        <w:rPr>
          <w:rFonts w:ascii="仿宋" w:hAnsi="仿宋" w:cs="仿宋"/>
          <w:sz w:val="21"/>
          <w:szCs w:val="22"/>
        </w:rPr>
      </w:pPr>
      <w:r>
        <w:fldChar w:fldCharType="begin"/>
      </w:r>
      <w:r>
        <w:instrText xml:space="preserve"> HYPERLINK \l "_Toc106784596" </w:instrText>
      </w:r>
      <w:r>
        <w:fldChar w:fldCharType="separate"/>
      </w:r>
      <w:r>
        <w:rPr>
          <w:rStyle w:val="27"/>
          <w:rFonts w:hint="eastAsia" w:ascii="仿宋" w:hAnsi="仿宋" w:cs="仿宋"/>
          <w:b/>
          <w:color w:val="auto"/>
        </w:rPr>
        <w:t>三、初步审查属于无效投标的条款</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_Toc106784596 \h </w:instrText>
      </w:r>
      <w:r>
        <w:rPr>
          <w:rFonts w:hint="eastAsia" w:ascii="仿宋" w:hAnsi="仿宋" w:cs="仿宋"/>
        </w:rPr>
        <w:fldChar w:fldCharType="separate"/>
      </w:r>
      <w:r>
        <w:rPr>
          <w:rFonts w:hint="eastAsia" w:ascii="仿宋" w:hAnsi="仿宋" w:cs="仿宋"/>
        </w:rPr>
        <w:t>9</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480"/>
        <w:rPr>
          <w:rFonts w:ascii="仿宋" w:hAnsi="仿宋" w:cs="仿宋"/>
          <w:sz w:val="21"/>
          <w:szCs w:val="22"/>
        </w:rPr>
      </w:pPr>
      <w:r>
        <w:fldChar w:fldCharType="begin"/>
      </w:r>
      <w:r>
        <w:instrText xml:space="preserve"> HYPERLINK \l "_Toc106784597" </w:instrText>
      </w:r>
      <w:r>
        <w:fldChar w:fldCharType="separate"/>
      </w:r>
      <w:r>
        <w:rPr>
          <w:rStyle w:val="27"/>
          <w:rFonts w:hint="eastAsia" w:ascii="仿宋" w:hAnsi="仿宋" w:cs="仿宋"/>
          <w:b/>
          <w:color w:val="auto"/>
        </w:rPr>
        <w:t>第八部分技术要求及说明</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_Toc106784597 \h </w:instrText>
      </w:r>
      <w:r>
        <w:rPr>
          <w:rFonts w:hint="eastAsia" w:ascii="仿宋" w:hAnsi="仿宋" w:cs="仿宋"/>
        </w:rPr>
        <w:fldChar w:fldCharType="separate"/>
      </w:r>
      <w:r>
        <w:rPr>
          <w:rFonts w:hint="eastAsia" w:ascii="仿宋" w:hAnsi="仿宋" w:cs="仿宋"/>
        </w:rPr>
        <w:t>11</w:t>
      </w:r>
      <w:r>
        <w:rPr>
          <w:rFonts w:hint="eastAsia" w:ascii="仿宋" w:hAnsi="仿宋" w:cs="仿宋"/>
        </w:rPr>
        <w:fldChar w:fldCharType="end"/>
      </w:r>
      <w:r>
        <w:rPr>
          <w:rFonts w:hint="eastAsia" w:ascii="仿宋" w:hAnsi="仿宋" w:cs="仿宋"/>
        </w:rPr>
        <w:fldChar w:fldCharType="end"/>
      </w:r>
    </w:p>
    <w:p>
      <w:pPr>
        <w:pStyle w:val="33"/>
        <w:ind w:firstLine="0" w:firstLineChars="0"/>
        <w:rPr>
          <w:rFonts w:ascii="仿宋" w:hAnsi="仿宋" w:cs="仿宋"/>
        </w:rPr>
      </w:pPr>
      <w:r>
        <w:rPr>
          <w:rFonts w:hint="eastAsia" w:ascii="仿宋" w:hAnsi="仿宋" w:cs="仿宋"/>
        </w:rPr>
        <w:fldChar w:fldCharType="end"/>
      </w:r>
    </w:p>
    <w:p>
      <w:pPr>
        <w:pStyle w:val="33"/>
        <w:ind w:firstLine="0" w:firstLineChars="0"/>
        <w:rPr>
          <w:rFonts w:ascii="仿宋" w:hAnsi="仿宋" w:cs="仿宋"/>
        </w:rPr>
      </w:pP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pStyle w:val="33"/>
        <w:ind w:firstLine="0" w:firstLineChars="0"/>
        <w:jc w:val="center"/>
        <w:outlineLvl w:val="0"/>
        <w:rPr>
          <w:rFonts w:ascii="仿宋" w:hAnsi="仿宋" w:cs="仿宋"/>
          <w:b/>
          <w:sz w:val="32"/>
          <w:szCs w:val="32"/>
        </w:rPr>
      </w:pPr>
      <w:bookmarkStart w:id="1" w:name="_Toc106784591"/>
      <w:r>
        <w:rPr>
          <w:rFonts w:hint="eastAsia" w:ascii="仿宋" w:hAnsi="仿宋" w:cs="仿宋"/>
          <w:b/>
          <w:sz w:val="32"/>
          <w:szCs w:val="32"/>
        </w:rPr>
        <w:t>第五部分 投标邀请</w:t>
      </w:r>
      <w:bookmarkEnd w:id="0"/>
      <w:bookmarkEnd w:id="1"/>
    </w:p>
    <w:p>
      <w:pPr>
        <w:pStyle w:val="33"/>
        <w:spacing w:line="360" w:lineRule="auto"/>
        <w:ind w:firstLine="480"/>
        <w:rPr>
          <w:rFonts w:ascii="仿宋" w:hAnsi="仿宋" w:cs="仿宋"/>
        </w:rPr>
      </w:pPr>
      <w:r>
        <w:rPr>
          <w:rFonts w:hint="eastAsia" w:ascii="仿宋" w:hAnsi="仿宋" w:cs="仿宋"/>
        </w:rPr>
        <w:t>山东华仁永旺招标有限公司（以下简称采购代理机构）受山东第一医科大学的委托，对“</w:t>
      </w:r>
      <w:r>
        <w:rPr>
          <w:rFonts w:hint="eastAsia" w:ascii="仿宋" w:hAnsi="仿宋" w:cs="仿宋"/>
          <w:bCs/>
        </w:rPr>
        <w:t>山东第一医科大学（山东省医学科学院）科教融合人才提升杰青团队建设试剂耗材采购（305）</w:t>
      </w:r>
      <w:r>
        <w:rPr>
          <w:rFonts w:hint="eastAsia" w:ascii="仿宋" w:hAnsi="仿宋" w:cs="仿宋"/>
        </w:rPr>
        <w:t>”货物及其他相关服务进行国内公开招标，欢迎符合条件的合格投标人参与投标。</w:t>
      </w:r>
    </w:p>
    <w:p>
      <w:pPr>
        <w:pStyle w:val="33"/>
        <w:spacing w:line="360" w:lineRule="auto"/>
        <w:ind w:firstLine="482"/>
        <w:rPr>
          <w:rFonts w:ascii="仿宋" w:hAnsi="仿宋" w:cs="仿宋"/>
          <w:b/>
        </w:rPr>
      </w:pPr>
      <w:r>
        <w:rPr>
          <w:rFonts w:hint="eastAsia" w:ascii="仿宋" w:hAnsi="仿宋" w:cs="仿宋"/>
          <w:b/>
        </w:rPr>
        <w:t>一、项目名称及编号</w:t>
      </w:r>
    </w:p>
    <w:p>
      <w:pPr>
        <w:pStyle w:val="33"/>
        <w:spacing w:line="360" w:lineRule="auto"/>
        <w:ind w:firstLine="480"/>
        <w:rPr>
          <w:rFonts w:ascii="仿宋" w:hAnsi="仿宋" w:cs="仿宋"/>
          <w:bCs/>
        </w:rPr>
      </w:pPr>
      <w:r>
        <w:rPr>
          <w:rFonts w:hint="eastAsia" w:ascii="仿宋" w:hAnsi="仿宋" w:cs="仿宋"/>
        </w:rPr>
        <w:t>项目名称：</w:t>
      </w:r>
      <w:r>
        <w:rPr>
          <w:rFonts w:hint="eastAsia" w:ascii="仿宋" w:hAnsi="仿宋" w:cs="仿宋"/>
          <w:bCs/>
        </w:rPr>
        <w:t>山东第一医科大学（山东省医学科学院）科教融合人才提升杰青团队建设试剂耗材采购（305）</w:t>
      </w:r>
    </w:p>
    <w:p>
      <w:pPr>
        <w:pStyle w:val="33"/>
        <w:spacing w:line="360" w:lineRule="auto"/>
        <w:ind w:firstLine="480"/>
        <w:rPr>
          <w:rFonts w:ascii="仿宋" w:hAnsi="仿宋" w:cs="仿宋"/>
        </w:rPr>
      </w:pPr>
      <w:r>
        <w:rPr>
          <w:rFonts w:hint="eastAsia" w:ascii="仿宋" w:hAnsi="仿宋" w:cs="仿宋"/>
        </w:rPr>
        <w:t>项目编号：SDGP370000000202302009405/sdhryw2023305</w:t>
      </w:r>
    </w:p>
    <w:p>
      <w:pPr>
        <w:pStyle w:val="33"/>
        <w:spacing w:line="360" w:lineRule="auto"/>
        <w:ind w:firstLine="482"/>
        <w:rPr>
          <w:rFonts w:ascii="仿宋" w:hAnsi="仿宋" w:cs="仿宋"/>
          <w:b/>
        </w:rPr>
      </w:pPr>
      <w:r>
        <w:rPr>
          <w:rFonts w:hint="eastAsia" w:ascii="仿宋" w:hAnsi="仿宋" w:cs="仿宋"/>
          <w:b/>
        </w:rPr>
        <w:t>二、采购内容及分包</w:t>
      </w:r>
    </w:p>
    <w:p>
      <w:pPr>
        <w:pStyle w:val="33"/>
        <w:spacing w:line="360" w:lineRule="auto"/>
        <w:ind w:firstLine="480"/>
        <w:rPr>
          <w:rFonts w:ascii="仿宋" w:hAnsi="仿宋" w:cs="仿宋"/>
        </w:rPr>
      </w:pPr>
      <w:r>
        <w:rPr>
          <w:rFonts w:hint="eastAsia" w:ascii="仿宋" w:hAnsi="仿宋" w:cs="仿宋"/>
        </w:rPr>
        <w:t>1、采购内容：</w:t>
      </w:r>
      <w:r>
        <w:rPr>
          <w:rFonts w:hint="eastAsia" w:ascii="仿宋" w:hAnsi="仿宋" w:cs="仿宋"/>
          <w:bCs/>
        </w:rPr>
        <w:t>山东第一医科大学（山东省医学科学院）科教融合人才提升杰青团队建设试剂耗材采购（305）</w:t>
      </w:r>
      <w:r>
        <w:rPr>
          <w:rFonts w:hint="eastAsia" w:ascii="仿宋" w:hAnsi="仿宋" w:cs="仿宋"/>
        </w:rPr>
        <w:t>，包括拟采购设备的供货、运输、安装调试及售后服务等。</w:t>
      </w:r>
    </w:p>
    <w:p>
      <w:pPr>
        <w:pStyle w:val="33"/>
        <w:spacing w:line="360" w:lineRule="auto"/>
        <w:ind w:firstLine="480"/>
        <w:rPr>
          <w:rFonts w:ascii="仿宋" w:hAnsi="仿宋" w:cs="仿宋"/>
        </w:rPr>
      </w:pPr>
      <w:r>
        <w:rPr>
          <w:rFonts w:hint="eastAsia" w:ascii="仿宋" w:hAnsi="仿宋" w:cs="仿宋"/>
        </w:rPr>
        <w:t>2、分包情况：共分6个包</w:t>
      </w:r>
      <w:r>
        <w:rPr>
          <w:rFonts w:hint="eastAsia" w:ascii="仿宋" w:hAnsi="仿宋" w:cs="仿宋"/>
          <w:bCs/>
          <w:szCs w:val="24"/>
        </w:rPr>
        <w:t>，分包内不允许拆包后投标</w:t>
      </w:r>
      <w:r>
        <w:rPr>
          <w:rFonts w:hint="eastAsia" w:ascii="仿宋" w:hAnsi="仿宋" w:cs="仿宋"/>
        </w:rPr>
        <w:t>。具体分包及技术、服务要求详见“第八部分技术要求及说明”。</w:t>
      </w:r>
    </w:p>
    <w:tbl>
      <w:tblPr>
        <w:tblStyle w:val="23"/>
        <w:tblpPr w:leftFromText="180" w:rightFromText="180" w:vertAnchor="text" w:horzAnchor="page" w:tblpXSpec="center" w:tblpY="254"/>
        <w:tblOverlap w:val="never"/>
        <w:tblW w:w="5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1"/>
        <w:gridCol w:w="1587"/>
        <w:gridCol w:w="1459"/>
        <w:gridCol w:w="1589"/>
        <w:gridCol w:w="5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389" w:type="pct"/>
            <w:vAlign w:val="center"/>
          </w:tcPr>
          <w:p>
            <w:pPr>
              <w:ind w:right="240" w:firstLine="0" w:firstLineChars="0"/>
              <w:jc w:val="center"/>
              <w:rPr>
                <w:rFonts w:ascii="仿宋" w:hAnsi="仿宋" w:cs="仿宋"/>
                <w:szCs w:val="24"/>
              </w:rPr>
            </w:pPr>
            <w:r>
              <w:rPr>
                <w:rFonts w:hint="eastAsia" w:ascii="仿宋" w:hAnsi="仿宋" w:cs="仿宋"/>
                <w:szCs w:val="24"/>
              </w:rPr>
              <w:t>包号</w:t>
            </w:r>
          </w:p>
        </w:tc>
        <w:tc>
          <w:tcPr>
            <w:tcW w:w="743"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683"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744"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438" w:type="pct"/>
            <w:vAlign w:val="center"/>
          </w:tcPr>
          <w:p>
            <w:pPr>
              <w:ind w:firstLine="720" w:firstLineChars="300"/>
              <w:jc w:val="both"/>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3"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743" w:type="pct"/>
            <w:vAlign w:val="center"/>
          </w:tcPr>
          <w:p>
            <w:pPr>
              <w:ind w:firstLine="0" w:firstLineChars="0"/>
              <w:jc w:val="center"/>
              <w:rPr>
                <w:rFonts w:ascii="仿宋" w:hAnsi="仿宋" w:cs="仿宋"/>
                <w:bCs/>
                <w:szCs w:val="24"/>
              </w:rPr>
            </w:pPr>
            <w:r>
              <w:rPr>
                <w:rFonts w:hint="eastAsia" w:ascii="仿宋" w:hAnsi="仿宋" w:cs="仿宋"/>
                <w:bCs/>
                <w:szCs w:val="24"/>
              </w:rPr>
              <w:t>试剂耗材一</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128</w:t>
            </w:r>
          </w:p>
        </w:tc>
        <w:tc>
          <w:tcPr>
            <w:tcW w:w="2438" w:type="pct"/>
            <w:vMerge w:val="restart"/>
            <w:vAlign w:val="center"/>
          </w:tcPr>
          <w:p>
            <w:pPr>
              <w:ind w:firstLine="0" w:firstLineChars="0"/>
              <w:rPr>
                <w:rFonts w:ascii="仿宋" w:hAnsi="仿宋" w:cs="仿宋"/>
                <w:szCs w:val="24"/>
              </w:rPr>
            </w:pPr>
            <w:r>
              <w:rPr>
                <w:rFonts w:hint="eastAsia" w:ascii="仿宋" w:hAnsi="仿宋" w:cs="仿宋"/>
                <w:szCs w:val="24"/>
              </w:rPr>
              <w:t>1.符合《中华人民共和国政府采购法》第二十二条相关规定；2.在“信用中国”（www.creditchina.gov.cn）、中国政府采购网（www.ccgp.gov.cn）、“信用山东”（www. creditsd.gov.cn）等网站中被列入失信被执行人、重大税收违法案件当事人名单、政府采购严重违法失信行为记录名单的投标人，不得参加本次政府采购活动；3.本项目不接受联合体投标；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B</w:t>
            </w:r>
          </w:p>
        </w:tc>
        <w:tc>
          <w:tcPr>
            <w:tcW w:w="743" w:type="pct"/>
            <w:vAlign w:val="center"/>
          </w:tcPr>
          <w:p>
            <w:pPr>
              <w:ind w:firstLine="0" w:firstLineChars="0"/>
              <w:jc w:val="center"/>
              <w:rPr>
                <w:rFonts w:ascii="仿宋" w:hAnsi="仿宋" w:cs="仿宋"/>
                <w:bCs/>
                <w:szCs w:val="24"/>
              </w:rPr>
            </w:pPr>
            <w:r>
              <w:rPr>
                <w:rFonts w:hint="eastAsia" w:ascii="仿宋" w:hAnsi="仿宋" w:cs="仿宋"/>
                <w:bCs/>
                <w:szCs w:val="24"/>
              </w:rPr>
              <w:t>试剂耗材二</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70</w:t>
            </w:r>
          </w:p>
        </w:tc>
        <w:tc>
          <w:tcPr>
            <w:tcW w:w="2438" w:type="pct"/>
            <w:vMerge w:val="continue"/>
            <w:vAlign w:val="center"/>
          </w:tcPr>
          <w:p>
            <w:pPr>
              <w:ind w:firstLine="48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C</w:t>
            </w:r>
          </w:p>
        </w:tc>
        <w:tc>
          <w:tcPr>
            <w:tcW w:w="743" w:type="pct"/>
            <w:vAlign w:val="center"/>
          </w:tcPr>
          <w:p>
            <w:pPr>
              <w:ind w:firstLine="0" w:firstLineChars="0"/>
              <w:jc w:val="center"/>
              <w:rPr>
                <w:rFonts w:ascii="仿宋" w:hAnsi="仿宋" w:cs="仿宋"/>
                <w:bCs/>
                <w:szCs w:val="24"/>
              </w:rPr>
            </w:pPr>
            <w:r>
              <w:rPr>
                <w:rFonts w:hint="eastAsia" w:ascii="仿宋" w:hAnsi="仿宋" w:cs="仿宋"/>
                <w:bCs/>
                <w:szCs w:val="24"/>
              </w:rPr>
              <w:t>试剂耗材</w:t>
            </w:r>
            <w:r>
              <w:rPr>
                <w:rFonts w:hint="eastAsia" w:ascii="仿宋" w:hAnsi="仿宋" w:cs="仿宋"/>
                <w:szCs w:val="24"/>
              </w:rPr>
              <w:t>三</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138</w:t>
            </w:r>
          </w:p>
        </w:tc>
        <w:tc>
          <w:tcPr>
            <w:tcW w:w="2438" w:type="pct"/>
            <w:vMerge w:val="continue"/>
            <w:vAlign w:val="center"/>
          </w:tcPr>
          <w:p>
            <w:pPr>
              <w:ind w:firstLine="48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D</w:t>
            </w:r>
          </w:p>
        </w:tc>
        <w:tc>
          <w:tcPr>
            <w:tcW w:w="743" w:type="pct"/>
            <w:vAlign w:val="center"/>
          </w:tcPr>
          <w:p>
            <w:pPr>
              <w:ind w:firstLine="0" w:firstLineChars="0"/>
              <w:jc w:val="center"/>
              <w:rPr>
                <w:rFonts w:ascii="仿宋" w:hAnsi="仿宋" w:cs="仿宋"/>
                <w:szCs w:val="24"/>
              </w:rPr>
            </w:pPr>
            <w:r>
              <w:rPr>
                <w:rFonts w:hint="eastAsia" w:ascii="仿宋" w:hAnsi="仿宋" w:cs="仿宋"/>
                <w:bCs/>
                <w:szCs w:val="24"/>
              </w:rPr>
              <w:t>试剂耗材四</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48</w:t>
            </w:r>
          </w:p>
        </w:tc>
        <w:tc>
          <w:tcPr>
            <w:tcW w:w="2438" w:type="pct"/>
            <w:vMerge w:val="continue"/>
            <w:vAlign w:val="center"/>
          </w:tcPr>
          <w:p>
            <w:pPr>
              <w:ind w:firstLine="48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E</w:t>
            </w:r>
          </w:p>
        </w:tc>
        <w:tc>
          <w:tcPr>
            <w:tcW w:w="743" w:type="pct"/>
            <w:vAlign w:val="center"/>
          </w:tcPr>
          <w:p>
            <w:pPr>
              <w:ind w:firstLine="0" w:firstLineChars="0"/>
              <w:jc w:val="center"/>
              <w:rPr>
                <w:rFonts w:ascii="仿宋" w:hAnsi="仿宋" w:cs="仿宋"/>
                <w:bCs/>
                <w:szCs w:val="24"/>
              </w:rPr>
            </w:pPr>
            <w:r>
              <w:rPr>
                <w:rFonts w:hint="eastAsia" w:ascii="仿宋" w:hAnsi="仿宋" w:cs="仿宋"/>
                <w:bCs/>
                <w:szCs w:val="24"/>
              </w:rPr>
              <w:t>试剂耗材五</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137</w:t>
            </w:r>
          </w:p>
        </w:tc>
        <w:tc>
          <w:tcPr>
            <w:tcW w:w="2438" w:type="pct"/>
            <w:vMerge w:val="continue"/>
            <w:vAlign w:val="center"/>
          </w:tcPr>
          <w:p>
            <w:pPr>
              <w:ind w:firstLine="480"/>
              <w:rPr>
                <w:rFonts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389" w:type="pct"/>
            <w:vAlign w:val="center"/>
          </w:tcPr>
          <w:p>
            <w:pPr>
              <w:ind w:firstLine="0" w:firstLineChars="0"/>
              <w:jc w:val="center"/>
              <w:rPr>
                <w:rFonts w:ascii="仿宋" w:hAnsi="仿宋" w:cs="仿宋"/>
                <w:szCs w:val="24"/>
              </w:rPr>
            </w:pPr>
            <w:r>
              <w:rPr>
                <w:rFonts w:hint="eastAsia" w:ascii="仿宋" w:hAnsi="仿宋" w:cs="仿宋"/>
                <w:szCs w:val="24"/>
              </w:rPr>
              <w:t>F</w:t>
            </w:r>
          </w:p>
        </w:tc>
        <w:tc>
          <w:tcPr>
            <w:tcW w:w="743" w:type="pct"/>
            <w:vAlign w:val="center"/>
          </w:tcPr>
          <w:p>
            <w:pPr>
              <w:ind w:firstLine="0" w:firstLineChars="0"/>
              <w:jc w:val="center"/>
              <w:rPr>
                <w:rFonts w:ascii="仿宋" w:hAnsi="仿宋" w:cs="仿宋"/>
                <w:bCs/>
                <w:szCs w:val="24"/>
              </w:rPr>
            </w:pPr>
            <w:r>
              <w:rPr>
                <w:rFonts w:hint="eastAsia" w:ascii="仿宋" w:hAnsi="仿宋" w:cs="仿宋"/>
                <w:bCs/>
                <w:szCs w:val="24"/>
              </w:rPr>
              <w:t>试剂耗材六</w:t>
            </w:r>
          </w:p>
        </w:tc>
        <w:tc>
          <w:tcPr>
            <w:tcW w:w="683"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详见参数</w:t>
            </w:r>
          </w:p>
        </w:tc>
        <w:tc>
          <w:tcPr>
            <w:tcW w:w="74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24</w:t>
            </w:r>
          </w:p>
        </w:tc>
        <w:tc>
          <w:tcPr>
            <w:tcW w:w="2438" w:type="pct"/>
            <w:vMerge w:val="continue"/>
            <w:vAlign w:val="center"/>
          </w:tcPr>
          <w:p>
            <w:pPr>
              <w:ind w:firstLine="480"/>
              <w:rPr>
                <w:rFonts w:ascii="仿宋" w:hAnsi="仿宋" w:cs="仿宋"/>
                <w:szCs w:val="24"/>
              </w:rPr>
            </w:pPr>
          </w:p>
        </w:tc>
      </w:tr>
    </w:tbl>
    <w:p>
      <w:pPr>
        <w:pStyle w:val="33"/>
        <w:spacing w:line="360" w:lineRule="auto"/>
        <w:ind w:firstLine="0" w:firstLineChars="0"/>
        <w:rPr>
          <w:rFonts w:ascii="仿宋" w:hAnsi="仿宋" w:cs="仿宋"/>
          <w:b/>
        </w:rPr>
      </w:pPr>
      <w:r>
        <w:rPr>
          <w:rFonts w:hint="eastAsia" w:ascii="仿宋" w:hAnsi="仿宋" w:cs="仿宋"/>
          <w:b/>
        </w:rPr>
        <w:t>三、招标文件发售的时间、地点、售价及方式</w:t>
      </w:r>
    </w:p>
    <w:p>
      <w:pPr>
        <w:pStyle w:val="33"/>
        <w:spacing w:line="360" w:lineRule="auto"/>
        <w:ind w:firstLine="480"/>
        <w:rPr>
          <w:rFonts w:ascii="仿宋" w:hAnsi="仿宋" w:cs="仿宋"/>
        </w:rPr>
      </w:pPr>
      <w:r>
        <w:rPr>
          <w:rFonts w:hint="eastAsia" w:ascii="仿宋" w:hAnsi="仿宋" w:cs="仿宋"/>
        </w:rPr>
        <w:t>1、时间：2023年</w:t>
      </w:r>
      <w:r>
        <w:rPr>
          <w:rFonts w:hint="eastAsia" w:ascii="仿宋" w:hAnsi="仿宋" w:cs="仿宋"/>
          <w:lang w:val="en-US" w:eastAsia="zh-CN"/>
        </w:rPr>
        <w:t>11</w:t>
      </w:r>
      <w:r>
        <w:rPr>
          <w:rFonts w:hint="eastAsia" w:ascii="仿宋" w:hAnsi="仿宋" w:cs="仿宋"/>
        </w:rPr>
        <w:t>月</w:t>
      </w:r>
      <w:r>
        <w:rPr>
          <w:rFonts w:hint="eastAsia" w:ascii="仿宋" w:hAnsi="仿宋" w:cs="仿宋"/>
          <w:lang w:val="en-US" w:eastAsia="zh-CN"/>
        </w:rPr>
        <w:t>8</w:t>
      </w:r>
      <w:r>
        <w:rPr>
          <w:rFonts w:hint="eastAsia" w:ascii="仿宋" w:hAnsi="仿宋" w:cs="仿宋"/>
        </w:rPr>
        <w:t>日至2023年</w:t>
      </w:r>
      <w:r>
        <w:rPr>
          <w:rFonts w:hint="eastAsia" w:ascii="仿宋" w:hAnsi="仿宋" w:cs="仿宋"/>
          <w:lang w:val="en-US" w:eastAsia="zh-CN"/>
        </w:rPr>
        <w:t>11</w:t>
      </w:r>
      <w:r>
        <w:rPr>
          <w:rFonts w:hint="eastAsia" w:ascii="仿宋" w:hAnsi="仿宋" w:cs="仿宋"/>
        </w:rPr>
        <w:t>月</w:t>
      </w:r>
      <w:r>
        <w:rPr>
          <w:rFonts w:hint="eastAsia" w:ascii="仿宋" w:hAnsi="仿宋" w:cs="仿宋"/>
          <w:lang w:val="en-US" w:eastAsia="zh-CN"/>
        </w:rPr>
        <w:t>14</w:t>
      </w:r>
      <w:r>
        <w:rPr>
          <w:rFonts w:hint="eastAsia" w:ascii="仿宋" w:hAnsi="仿宋" w:cs="仿宋"/>
        </w:rPr>
        <w:t>日，每天8:30-12:00、13:30-16:30（节假日除外）。</w:t>
      </w:r>
    </w:p>
    <w:p>
      <w:pPr>
        <w:pStyle w:val="33"/>
        <w:spacing w:line="360" w:lineRule="auto"/>
        <w:ind w:firstLine="480"/>
        <w:rPr>
          <w:rFonts w:ascii="仿宋" w:hAnsi="仿宋" w:cs="仿宋"/>
        </w:rPr>
      </w:pPr>
      <w:r>
        <w:rPr>
          <w:rFonts w:hint="eastAsia" w:ascii="仿宋" w:hAnsi="仿宋" w:cs="仿宋"/>
        </w:rPr>
        <w:t>2、地点：济南市历下区经十路13777号中润世纪广场18号楼603(山东华仁永旺招标有限公司)。</w:t>
      </w:r>
    </w:p>
    <w:p>
      <w:pPr>
        <w:widowControl/>
        <w:spacing w:line="480" w:lineRule="exact"/>
        <w:ind w:firstLine="480"/>
        <w:rPr>
          <w:rFonts w:ascii="仿宋" w:hAnsi="仿宋" w:cs="仿宋"/>
        </w:rPr>
      </w:pPr>
      <w:r>
        <w:rPr>
          <w:rFonts w:hint="eastAsia" w:ascii="仿宋" w:hAnsi="仿宋" w:cs="仿宋"/>
        </w:rPr>
        <w:t>3、报名备案登记方式：凡有意参加本次政府采购的供应商必须在中国山东政府采购网（http://www.ccgp-shandong.gov.cn）进行注册并报名，网站报名成功后携带营业执照复印件、授权委托书（格式自拟）、盖章资料前来招标代理机构现场报名或邮箱报名（联系电话：15650010801/19861051518，邮箱sdhryw@126.com）：上述资料扫描件及对公汇款截图、联系人、联系电话发至邮箱（</w:t>
      </w:r>
      <w:r>
        <w:rPr>
          <w:rFonts w:hint="eastAsia" w:ascii="仿宋" w:hAnsi="仿宋" w:cs="仿宋"/>
          <w:b/>
          <w:bCs/>
        </w:rPr>
        <w:t>报名费转账必须公对公转账并备注23-305报名费+包号</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300 元/包</w:t>
      </w:r>
    </w:p>
    <w:p>
      <w:pPr>
        <w:ind w:firstLine="480"/>
        <w:rPr>
          <w:rFonts w:ascii="仿宋" w:hAnsi="仿宋" w:cs="仿宋"/>
        </w:rPr>
      </w:pPr>
      <w:r>
        <w:rPr>
          <w:rFonts w:hint="eastAsia" w:ascii="仿宋" w:hAnsi="仿宋" w:cs="仿宋"/>
        </w:rPr>
        <w:t>4、地点：济南市历下区经十路13777号中润世纪广场18号楼603</w:t>
      </w:r>
    </w:p>
    <w:p>
      <w:pPr>
        <w:pStyle w:val="33"/>
        <w:spacing w:line="360" w:lineRule="auto"/>
        <w:ind w:firstLine="482"/>
        <w:rPr>
          <w:rFonts w:ascii="仿宋" w:hAnsi="仿宋" w:cs="仿宋"/>
          <w:b/>
        </w:rPr>
      </w:pPr>
      <w:r>
        <w:rPr>
          <w:rFonts w:hint="eastAsia" w:ascii="仿宋" w:hAnsi="仿宋" w:cs="仿宋"/>
          <w:b/>
        </w:rPr>
        <w:t>四、投标文件的递交</w:t>
      </w:r>
    </w:p>
    <w:p>
      <w:pPr>
        <w:pStyle w:val="33"/>
        <w:spacing w:line="360" w:lineRule="auto"/>
        <w:ind w:firstLine="480"/>
        <w:rPr>
          <w:rFonts w:ascii="仿宋" w:hAnsi="仿宋" w:cs="仿宋"/>
        </w:rPr>
      </w:pPr>
      <w:r>
        <w:rPr>
          <w:rFonts w:hint="eastAsia" w:ascii="仿宋" w:hAnsi="仿宋" w:cs="仿宋"/>
        </w:rPr>
        <w:t>1、递交投标文件时间：2023年</w:t>
      </w:r>
      <w:r>
        <w:rPr>
          <w:rFonts w:hint="eastAsia" w:ascii="仿宋" w:hAnsi="仿宋" w:cs="仿宋"/>
          <w:lang w:val="en-US" w:eastAsia="zh-CN"/>
        </w:rPr>
        <w:t>11</w:t>
      </w:r>
      <w:r>
        <w:rPr>
          <w:rFonts w:hint="eastAsia" w:ascii="仿宋" w:hAnsi="仿宋" w:cs="仿宋"/>
        </w:rPr>
        <w:t>月</w:t>
      </w:r>
      <w:r>
        <w:rPr>
          <w:rFonts w:hint="eastAsia" w:ascii="仿宋" w:hAnsi="仿宋" w:cs="仿宋"/>
          <w:lang w:val="en-US" w:eastAsia="zh-CN"/>
        </w:rPr>
        <w:t>28</w:t>
      </w:r>
      <w:r>
        <w:rPr>
          <w:rFonts w:hint="eastAsia" w:ascii="仿宋" w:hAnsi="仿宋" w:cs="仿宋"/>
        </w:rPr>
        <w:t>日08:30-09:00（北京时间）。</w:t>
      </w:r>
    </w:p>
    <w:p>
      <w:pPr>
        <w:pStyle w:val="33"/>
        <w:spacing w:line="360" w:lineRule="auto"/>
        <w:ind w:firstLine="480"/>
        <w:rPr>
          <w:rFonts w:ascii="仿宋" w:hAnsi="仿宋" w:cs="仿宋"/>
        </w:rPr>
      </w:pPr>
      <w:r>
        <w:rPr>
          <w:rFonts w:hint="eastAsia" w:ascii="仿宋" w:hAnsi="仿宋" w:cs="仿宋"/>
        </w:rPr>
        <w:t>2、递交投标文件截止时间和开标时间：2023年</w:t>
      </w:r>
      <w:r>
        <w:rPr>
          <w:rFonts w:hint="eastAsia" w:ascii="仿宋" w:hAnsi="仿宋" w:cs="仿宋"/>
          <w:lang w:val="en-US" w:eastAsia="zh-CN"/>
        </w:rPr>
        <w:t>11</w:t>
      </w:r>
      <w:r>
        <w:rPr>
          <w:rFonts w:hint="eastAsia" w:ascii="仿宋" w:hAnsi="仿宋" w:cs="仿宋"/>
        </w:rPr>
        <w:t>月</w:t>
      </w:r>
      <w:r>
        <w:rPr>
          <w:rFonts w:hint="eastAsia" w:ascii="仿宋" w:hAnsi="仿宋" w:cs="仿宋"/>
          <w:lang w:val="en-US" w:eastAsia="zh-CN"/>
        </w:rPr>
        <w:t>28</w:t>
      </w:r>
      <w:r>
        <w:rPr>
          <w:rFonts w:hint="eastAsia" w:ascii="仿宋" w:hAnsi="仿宋" w:cs="仿宋"/>
        </w:rPr>
        <w:t>日09:00（北京时间），逾期递交的投标文件不予接受。</w:t>
      </w:r>
    </w:p>
    <w:p>
      <w:pPr>
        <w:pStyle w:val="33"/>
        <w:spacing w:line="360" w:lineRule="auto"/>
        <w:ind w:firstLine="480"/>
        <w:rPr>
          <w:rFonts w:ascii="仿宋" w:hAnsi="仿宋" w:cs="仿宋"/>
        </w:rPr>
      </w:pPr>
      <w:r>
        <w:rPr>
          <w:rFonts w:hint="eastAsia" w:ascii="仿宋" w:hAnsi="仿宋" w:cs="仿宋"/>
        </w:rPr>
        <w:t>3、递交投标文件和开标地点：</w:t>
      </w:r>
      <w:r>
        <w:rPr>
          <w:rFonts w:hint="eastAsia" w:ascii="仿宋" w:hAnsi="仿宋" w:cs="仿宋"/>
          <w:highlight w:val="none"/>
        </w:rPr>
        <w:t>济南市历下区经十路13777号中润世纪广场18号楼603A</w:t>
      </w:r>
    </w:p>
    <w:p>
      <w:pPr>
        <w:pStyle w:val="33"/>
        <w:spacing w:line="360" w:lineRule="auto"/>
        <w:ind w:firstLine="482"/>
        <w:rPr>
          <w:rFonts w:ascii="仿宋" w:hAnsi="仿宋" w:cs="仿宋"/>
          <w:b/>
        </w:rPr>
      </w:pPr>
      <w:r>
        <w:rPr>
          <w:rFonts w:hint="eastAsia" w:ascii="仿宋" w:hAnsi="仿宋" w:cs="仿宋"/>
          <w:b/>
        </w:rPr>
        <w:t>五、采购人信息</w:t>
      </w:r>
    </w:p>
    <w:p>
      <w:pPr>
        <w:pStyle w:val="33"/>
        <w:spacing w:line="360" w:lineRule="auto"/>
        <w:ind w:firstLine="480"/>
        <w:rPr>
          <w:rFonts w:ascii="仿宋" w:hAnsi="仿宋" w:cs="仿宋"/>
        </w:rPr>
      </w:pPr>
      <w:r>
        <w:rPr>
          <w:rFonts w:hint="eastAsia" w:ascii="仿宋" w:hAnsi="仿宋" w:cs="仿宋"/>
        </w:rPr>
        <w:t>1、名称：山东第一医科大学</w:t>
      </w:r>
    </w:p>
    <w:p>
      <w:pPr>
        <w:pStyle w:val="33"/>
        <w:spacing w:line="360" w:lineRule="auto"/>
        <w:ind w:firstLine="482"/>
        <w:rPr>
          <w:rFonts w:ascii="仿宋" w:hAnsi="仿宋" w:cs="仿宋"/>
          <w:b/>
        </w:rPr>
      </w:pPr>
      <w:r>
        <w:rPr>
          <w:rFonts w:hint="eastAsia" w:ascii="仿宋" w:hAnsi="仿宋" w:cs="仿宋"/>
          <w:b/>
        </w:rPr>
        <w:t>六、采购代理机构信息</w:t>
      </w:r>
    </w:p>
    <w:p>
      <w:pPr>
        <w:pStyle w:val="33"/>
        <w:spacing w:line="360" w:lineRule="auto"/>
        <w:ind w:firstLine="480"/>
        <w:rPr>
          <w:rFonts w:ascii="仿宋" w:hAnsi="仿宋" w:cs="仿宋"/>
        </w:rPr>
      </w:pPr>
      <w:r>
        <w:rPr>
          <w:rFonts w:hint="eastAsia" w:ascii="仿宋" w:hAnsi="仿宋" w:cs="仿宋"/>
        </w:rPr>
        <w:t>1、名称：山东华仁永旺招标有限公司</w:t>
      </w:r>
    </w:p>
    <w:p>
      <w:pPr>
        <w:ind w:firstLine="480"/>
        <w:rPr>
          <w:rFonts w:ascii="仿宋" w:hAnsi="仿宋" w:cs="仿宋"/>
        </w:rPr>
      </w:pPr>
      <w:r>
        <w:rPr>
          <w:rFonts w:hint="eastAsia" w:ascii="仿宋" w:hAnsi="仿宋" w:cs="仿宋"/>
        </w:rPr>
        <w:t>2、地址：济南市历下区经十路13777号中润世纪广场18号楼603</w:t>
      </w:r>
    </w:p>
    <w:p>
      <w:pPr>
        <w:pStyle w:val="33"/>
        <w:spacing w:line="360" w:lineRule="auto"/>
        <w:ind w:firstLine="480"/>
        <w:rPr>
          <w:rFonts w:ascii="仿宋" w:hAnsi="仿宋" w:cs="仿宋"/>
        </w:rPr>
      </w:pPr>
      <w:r>
        <w:rPr>
          <w:rFonts w:hint="eastAsia" w:ascii="仿宋" w:hAnsi="仿宋" w:cs="仿宋"/>
        </w:rPr>
        <w:t>3、项目联系人：于美玲、葛东银</w:t>
      </w:r>
    </w:p>
    <w:p>
      <w:pPr>
        <w:pStyle w:val="33"/>
        <w:spacing w:line="360" w:lineRule="auto"/>
        <w:ind w:firstLine="480"/>
        <w:rPr>
          <w:rFonts w:ascii="仿宋" w:hAnsi="仿宋" w:cs="仿宋"/>
          <w:b/>
          <w:sz w:val="32"/>
          <w:szCs w:val="32"/>
        </w:rPr>
      </w:pPr>
      <w:r>
        <w:rPr>
          <w:rFonts w:hint="eastAsia" w:ascii="仿宋" w:hAnsi="仿宋" w:cs="仿宋"/>
        </w:rPr>
        <w:t>4、联系电话：15650010801/19861051518</w:t>
      </w:r>
    </w:p>
    <w:p>
      <w:pPr>
        <w:widowControl/>
        <w:spacing w:line="240" w:lineRule="auto"/>
        <w:ind w:firstLine="0" w:firstLineChars="0"/>
        <w:jc w:val="center"/>
        <w:rPr>
          <w:rFonts w:ascii="仿宋" w:hAnsi="仿宋" w:cs="仿宋"/>
          <w:b/>
          <w:sz w:val="32"/>
          <w:szCs w:val="32"/>
        </w:rPr>
      </w:pPr>
      <w:bookmarkStart w:id="2" w:name="_Toc106784592"/>
      <w:bookmarkStart w:id="3" w:name="_Toc69110203"/>
      <w:bookmarkStart w:id="4" w:name="_Toc106784519"/>
    </w:p>
    <w:p>
      <w:pPr>
        <w:widowControl/>
        <w:spacing w:line="240" w:lineRule="auto"/>
        <w:ind w:firstLine="0" w:firstLineChars="0"/>
        <w:jc w:val="center"/>
        <w:rPr>
          <w:rFonts w:ascii="仿宋" w:hAnsi="仿宋" w:cs="仿宋"/>
          <w:b/>
          <w:sz w:val="32"/>
          <w:szCs w:val="32"/>
        </w:rPr>
      </w:pPr>
    </w:p>
    <w:p>
      <w:pPr>
        <w:widowControl/>
        <w:spacing w:line="240" w:lineRule="auto"/>
        <w:ind w:firstLine="0" w:firstLineChars="0"/>
        <w:jc w:val="center"/>
        <w:rPr>
          <w:rFonts w:ascii="仿宋" w:hAnsi="仿宋" w:cs="仿宋"/>
          <w:b/>
          <w:sz w:val="32"/>
          <w:szCs w:val="32"/>
        </w:rPr>
      </w:pPr>
    </w:p>
    <w:p>
      <w:pPr>
        <w:widowControl/>
        <w:spacing w:line="240" w:lineRule="auto"/>
        <w:ind w:firstLine="0" w:firstLineChars="0"/>
        <w:jc w:val="center"/>
        <w:rPr>
          <w:rFonts w:ascii="仿宋" w:hAnsi="仿宋" w:cs="仿宋"/>
          <w:b/>
          <w:sz w:val="32"/>
          <w:szCs w:val="32"/>
        </w:rPr>
      </w:pPr>
    </w:p>
    <w:p>
      <w:pPr>
        <w:ind w:firstLine="643"/>
        <w:rPr>
          <w:rFonts w:ascii="仿宋" w:hAnsi="仿宋" w:cs="仿宋"/>
          <w:b/>
          <w:sz w:val="32"/>
          <w:szCs w:val="32"/>
        </w:rPr>
      </w:pPr>
      <w:r>
        <w:rPr>
          <w:rFonts w:hint="eastAsia" w:ascii="仿宋" w:hAnsi="仿宋" w:cs="仿宋"/>
          <w:b/>
          <w:sz w:val="32"/>
          <w:szCs w:val="32"/>
        </w:rPr>
        <w:br w:type="page"/>
      </w:r>
    </w:p>
    <w:p>
      <w:pPr>
        <w:ind w:firstLine="0" w:firstLineChars="0"/>
        <w:jc w:val="center"/>
        <w:rPr>
          <w:rFonts w:ascii="仿宋" w:hAnsi="仿宋" w:cs="仿宋"/>
          <w:b/>
          <w:sz w:val="32"/>
          <w:szCs w:val="32"/>
        </w:rPr>
      </w:pPr>
      <w:r>
        <w:rPr>
          <w:rFonts w:hint="eastAsia" w:ascii="仿宋" w:hAnsi="仿宋" w:cs="仿宋"/>
          <w:b/>
          <w:sz w:val="32"/>
          <w:szCs w:val="32"/>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5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序号</w:t>
            </w:r>
          </w:p>
        </w:tc>
        <w:tc>
          <w:tcPr>
            <w:tcW w:w="869"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内容</w:t>
            </w:r>
          </w:p>
        </w:tc>
        <w:tc>
          <w:tcPr>
            <w:tcW w:w="3795" w:type="pct"/>
            <w:vAlign w:val="center"/>
          </w:tcPr>
          <w:p>
            <w:pPr>
              <w:adjustRightInd w:val="0"/>
              <w:snapToGrid w:val="0"/>
              <w:spacing w:line="240" w:lineRule="auto"/>
              <w:ind w:firstLine="0" w:firstLineChars="0"/>
              <w:jc w:val="center"/>
              <w:rPr>
                <w:rFonts w:ascii="仿宋" w:hAnsi="仿宋" w:cs="仿宋"/>
                <w:b/>
                <w:szCs w:val="24"/>
              </w:rPr>
            </w:pPr>
            <w:r>
              <w:rPr>
                <w:rFonts w:hint="eastAsia" w:ascii="仿宋" w:hAnsi="仿宋" w:cs="仿宋"/>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采购人</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名称：山东第一医科大学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采购代理机构</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名称：山东华仁永旺招标有限公司</w:t>
            </w:r>
          </w:p>
          <w:p>
            <w:pPr>
              <w:adjustRightInd w:val="0"/>
              <w:snapToGrid w:val="0"/>
              <w:spacing w:line="240" w:lineRule="auto"/>
              <w:ind w:firstLine="0" w:firstLineChars="0"/>
              <w:rPr>
                <w:rFonts w:ascii="仿宋" w:hAnsi="仿宋" w:cs="仿宋"/>
              </w:rPr>
            </w:pPr>
            <w:r>
              <w:rPr>
                <w:rFonts w:hint="eastAsia" w:ascii="仿宋" w:hAnsi="仿宋" w:cs="仿宋"/>
              </w:rPr>
              <w:t>地址：济南市历下区经十路13777号中润世纪广场18号楼603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4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投标人特定资格要求</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计划编号</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37000000014006520230411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rPr>
              <w:t>资金性质</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6</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采购方式</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疑问</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投标人有疑问需要采购人解答的须在招标文件发售截止次日12:00之前发送到sdhryw@126.com，注明邮件主题为XXX公司关于XXX项目X包的疑问，并电话告知采购代理机构（15650010801/19861051518），逾期不再接收。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投标有效期</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是否专门面向中小微企业采购</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中小企业划分标准中采购标的所属行业</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11</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是否允许分包、转包</w:t>
            </w:r>
          </w:p>
        </w:tc>
        <w:tc>
          <w:tcPr>
            <w:tcW w:w="3795" w:type="pct"/>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是</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备选方案</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不允许</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szCs w:val="24"/>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样品要求</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不需提交样品</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演示要求</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不需演示</w:t>
            </w:r>
          </w:p>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踏勘现场</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rPr>
            </w:pPr>
            <w:r>
              <w:rPr>
                <w:rFonts w:hint="eastAsia" w:ascii="仿宋" w:hAnsi="仿宋" w:cs="仿宋"/>
                <w:sz w:val="36"/>
              </w:rPr>
              <w:t>☑</w:t>
            </w:r>
            <w:r>
              <w:rPr>
                <w:rFonts w:hint="eastAsia" w:ascii="仿宋" w:hAnsi="仿宋" w:cs="仿宋"/>
              </w:rPr>
              <w:t>不组织</w:t>
            </w:r>
          </w:p>
          <w:p>
            <w:pPr>
              <w:adjustRightInd w:val="0"/>
              <w:snapToGrid w:val="0"/>
              <w:spacing w:line="240" w:lineRule="auto"/>
              <w:ind w:firstLine="0" w:firstLineChars="0"/>
              <w:rPr>
                <w:rFonts w:ascii="仿宋" w:hAnsi="仿宋" w:cs="仿宋"/>
                <w:szCs w:val="24"/>
              </w:rPr>
            </w:pPr>
            <w:r>
              <w:rPr>
                <w:rFonts w:hint="eastAsia" w:ascii="仿宋" w:hAnsi="仿宋" w:cs="仿宋"/>
                <w:sz w:val="36"/>
              </w:rPr>
              <w:t>□</w:t>
            </w:r>
            <w:r>
              <w:rPr>
                <w:rFonts w:hint="eastAsia" w:ascii="仿宋" w:hAnsi="仿宋" w:cs="仿宋"/>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报价方式</w:t>
            </w:r>
          </w:p>
        </w:tc>
        <w:tc>
          <w:tcPr>
            <w:tcW w:w="3795" w:type="pct"/>
            <w:vAlign w:val="center"/>
          </w:tcPr>
          <w:p>
            <w:pPr>
              <w:adjustRightInd w:val="0"/>
              <w:snapToGrid w:val="0"/>
              <w:spacing w:line="240" w:lineRule="auto"/>
              <w:ind w:firstLine="0" w:firstLineChars="0"/>
              <w:rPr>
                <w:rFonts w:ascii="仿宋" w:hAnsi="仿宋" w:cs="仿宋"/>
                <w:b/>
                <w:bCs/>
              </w:rPr>
            </w:pPr>
            <w:r>
              <w:rPr>
                <w:rFonts w:hint="eastAsia" w:ascii="仿宋" w:hAnsi="仿宋" w:cs="仿宋"/>
                <w:b/>
                <w:bCs/>
              </w:rPr>
              <w:t>1、本项目为交钥匙工程。</w:t>
            </w:r>
          </w:p>
          <w:p>
            <w:pPr>
              <w:adjustRightInd w:val="0"/>
              <w:snapToGrid w:val="0"/>
              <w:spacing w:line="240" w:lineRule="auto"/>
              <w:ind w:firstLine="0" w:firstLineChars="0"/>
              <w:rPr>
                <w:rFonts w:ascii="仿宋" w:hAnsi="仿宋" w:cs="仿宋"/>
                <w:b/>
                <w:bCs/>
              </w:rPr>
            </w:pPr>
            <w:r>
              <w:rPr>
                <w:rFonts w:hint="eastAsia" w:ascii="仿宋" w:hAnsi="仿宋" w:cs="仿宋"/>
                <w:b/>
                <w:bCs/>
              </w:rPr>
              <w:t xml:space="preserve">2、人民币完税报价； </w:t>
            </w:r>
          </w:p>
          <w:p>
            <w:pPr>
              <w:adjustRightInd w:val="0"/>
              <w:snapToGrid w:val="0"/>
              <w:spacing w:line="240" w:lineRule="auto"/>
              <w:ind w:firstLine="0" w:firstLineChars="0"/>
              <w:rPr>
                <w:rFonts w:ascii="仿宋" w:hAnsi="仿宋" w:cs="仿宋"/>
              </w:rPr>
            </w:pPr>
            <w:r>
              <w:rPr>
                <w:rFonts w:hint="eastAsia" w:ascii="仿宋" w:hAnsi="仿宋" w:cs="仿宋"/>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ascii="仿宋" w:hAnsi="仿宋" w:cs="仿宋"/>
              </w:rPr>
            </w:pPr>
            <w:r>
              <w:rPr>
                <w:rFonts w:hint="eastAsia" w:ascii="仿宋" w:hAnsi="仿宋" w:cs="仿宋"/>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ascii="仿宋" w:hAnsi="仿宋" w:cs="仿宋"/>
              </w:rPr>
            </w:pPr>
            <w:r>
              <w:rPr>
                <w:rFonts w:hint="eastAsia" w:ascii="仿宋" w:hAnsi="仿宋" w:cs="仿宋"/>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ascii="仿宋" w:hAnsi="仿宋" w:cs="仿宋"/>
              </w:rPr>
            </w:pPr>
            <w:r>
              <w:rPr>
                <w:rFonts w:hint="eastAsia" w:ascii="仿宋" w:hAnsi="仿宋" w:cs="仿宋"/>
                <w:b/>
                <w:bCs/>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cs="仿宋"/>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质保期</w:t>
            </w:r>
          </w:p>
        </w:tc>
        <w:tc>
          <w:tcPr>
            <w:tcW w:w="3795" w:type="pct"/>
            <w:vAlign w:val="center"/>
          </w:tcPr>
          <w:p>
            <w:pPr>
              <w:adjustRightInd w:val="0"/>
              <w:snapToGrid w:val="0"/>
              <w:spacing w:line="240" w:lineRule="auto"/>
              <w:ind w:firstLine="0" w:firstLineChars="0"/>
              <w:rPr>
                <w:rFonts w:ascii="仿宋" w:hAnsi="仿宋" w:cs="仿宋"/>
                <w:kern w:val="0"/>
                <w:szCs w:val="24"/>
              </w:rPr>
            </w:pPr>
            <w:r>
              <w:rPr>
                <w:rFonts w:hint="eastAsia" w:ascii="仿宋" w:hAnsi="仿宋" w:cs="仿宋"/>
                <w:kern w:val="0"/>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kern w:val="0"/>
                <w:szCs w:val="24"/>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18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供货期</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详见招标文件“第八部分技术要求及说明”具体要求；</w:t>
            </w:r>
          </w:p>
          <w:p>
            <w:pPr>
              <w:adjustRightInd w:val="0"/>
              <w:snapToGrid w:val="0"/>
              <w:spacing w:line="240" w:lineRule="auto"/>
              <w:ind w:firstLine="0" w:firstLineChars="0"/>
              <w:rPr>
                <w:rFonts w:ascii="仿宋" w:hAnsi="仿宋" w:cs="仿宋"/>
                <w:szCs w:val="24"/>
              </w:rPr>
            </w:pPr>
            <w:r>
              <w:rPr>
                <w:rFonts w:hint="eastAsia" w:ascii="仿宋" w:hAnsi="仿宋" w:cs="仿宋"/>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19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交货地点</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20</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投标保证金</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93"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21</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付款方式及履约保证金</w:t>
            </w:r>
          </w:p>
        </w:tc>
        <w:tc>
          <w:tcPr>
            <w:tcW w:w="3795" w:type="pct"/>
            <w:vAlign w:val="center"/>
          </w:tcPr>
          <w:p>
            <w:pPr>
              <w:adjustRightInd w:val="0"/>
              <w:snapToGrid w:val="0"/>
              <w:ind w:firstLine="0" w:firstLineChars="0"/>
              <w:rPr>
                <w:rFonts w:hint="eastAsia"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7"/>
              <w:ind w:left="0" w:leftChars="0" w:firstLine="0" w:firstLineChars="0"/>
            </w:pPr>
            <w:r>
              <w:rPr>
                <w:rFonts w:hint="eastAsia"/>
              </w:rPr>
              <w:t>履约保证金在验收合格后满一年后，没有任何质量问题，由中标人向采购人提交申请，采购人根据履约情况无息退还给中标人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22</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投标文件格式</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23</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投标文件组成、份数、密封要求</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4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24</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关于递交原件的规定</w:t>
            </w:r>
          </w:p>
        </w:tc>
        <w:tc>
          <w:tcPr>
            <w:tcW w:w="3795" w:type="pct"/>
            <w:vAlign w:val="center"/>
          </w:tcPr>
          <w:p>
            <w:pPr>
              <w:pStyle w:val="6"/>
              <w:spacing w:before="0" w:after="0" w:line="240" w:lineRule="auto"/>
              <w:ind w:firstLine="0" w:firstLineChars="0"/>
              <w:rPr>
                <w:rFonts w:ascii="仿宋" w:hAnsi="仿宋" w:eastAsia="仿宋" w:cs="仿宋"/>
                <w:szCs w:val="24"/>
              </w:rPr>
            </w:pPr>
            <w:r>
              <w:rPr>
                <w:rFonts w:hint="eastAsia" w:ascii="仿宋" w:hAnsi="仿宋" w:eastAsia="仿宋" w:cs="仿宋"/>
                <w:sz w:val="24"/>
                <w:szCs w:val="20"/>
              </w:rPr>
              <w:t>业绩加分部分</w:t>
            </w:r>
            <w:r>
              <w:rPr>
                <w:rFonts w:hint="eastAsia" w:ascii="仿宋" w:hAnsi="仿宋" w:eastAsia="仿宋" w:cs="仿宋"/>
                <w:b w:val="0"/>
                <w:bCs w:val="0"/>
                <w:sz w:val="24"/>
                <w:szCs w:val="20"/>
              </w:rPr>
              <w:t>：若要求提供原件的，须提供合同原件（复印件加盖投标人公章胶装于投标文件），该合同不提供或提供不全不得分。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25</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递交投标文件的时间和地点</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11</w:t>
            </w:r>
            <w:r>
              <w:rPr>
                <w:rFonts w:hint="eastAsia" w:ascii="仿宋" w:hAnsi="仿宋" w:cs="仿宋"/>
                <w:szCs w:val="24"/>
              </w:rPr>
              <w:t>月</w:t>
            </w:r>
            <w:r>
              <w:rPr>
                <w:rFonts w:hint="eastAsia" w:ascii="仿宋" w:hAnsi="仿宋" w:cs="仿宋"/>
                <w:szCs w:val="24"/>
                <w:lang w:val="en-US" w:eastAsia="zh-CN"/>
              </w:rPr>
              <w:t>28</w:t>
            </w:r>
            <w:r>
              <w:rPr>
                <w:rFonts w:hint="eastAsia" w:ascii="仿宋" w:hAnsi="仿宋" w:cs="仿宋"/>
                <w:szCs w:val="24"/>
              </w:rPr>
              <w:t>日08:30-09:00（北京时间）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w:t>
            </w:r>
            <w:r>
              <w:rPr>
                <w:rFonts w:hint="eastAsia" w:ascii="仿宋" w:hAnsi="仿宋" w:cs="仿宋"/>
                <w:highlight w:val="none"/>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26</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开标时间和地点</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11</w:t>
            </w:r>
            <w:r>
              <w:rPr>
                <w:rFonts w:hint="eastAsia" w:ascii="仿宋" w:hAnsi="仿宋" w:cs="仿宋"/>
                <w:szCs w:val="24"/>
              </w:rPr>
              <w:t>月</w:t>
            </w:r>
            <w:r>
              <w:rPr>
                <w:rFonts w:hint="eastAsia" w:ascii="仿宋" w:hAnsi="仿宋" w:cs="仿宋"/>
                <w:szCs w:val="24"/>
                <w:lang w:val="en-US" w:eastAsia="zh-CN"/>
              </w:rPr>
              <w:t>28</w:t>
            </w:r>
            <w:r>
              <w:rPr>
                <w:rFonts w:hint="eastAsia" w:ascii="仿宋" w:hAnsi="仿宋" w:cs="仿宋"/>
                <w:szCs w:val="24"/>
              </w:rPr>
              <w:t>日09:00（北京时间）</w:t>
            </w:r>
          </w:p>
          <w:p>
            <w:pPr>
              <w:adjustRightInd w:val="0"/>
              <w:snapToGrid w:val="0"/>
              <w:spacing w:line="240" w:lineRule="auto"/>
              <w:ind w:firstLine="0" w:firstLineChars="0"/>
              <w:rPr>
                <w:rFonts w:ascii="仿宋" w:hAnsi="仿宋" w:cs="仿宋"/>
              </w:rPr>
            </w:pPr>
            <w:r>
              <w:rPr>
                <w:rFonts w:hint="eastAsia" w:ascii="仿宋" w:hAnsi="仿宋" w:cs="仿宋"/>
                <w:szCs w:val="24"/>
              </w:rPr>
              <w:t>地点：</w:t>
            </w:r>
            <w:r>
              <w:rPr>
                <w:rFonts w:hint="eastAsia" w:ascii="仿宋" w:hAnsi="仿宋" w:cs="仿宋"/>
                <w:highlight w:val="none"/>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27</w:t>
            </w:r>
          </w:p>
        </w:tc>
        <w:tc>
          <w:tcPr>
            <w:tcW w:w="869"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lang w:val="en-GB"/>
              </w:rPr>
              <w:t>检查投标文件的密封情况</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28</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中标服务费收取标准</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中标人须在中标公告发出后5个工作日内向采购代理机构缴纳中标服务费，中标服务费以中标价格为计费基础，收费标准参照“计价格[2002]1980号”规定70%收取。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29</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见证律师费的收费标准</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中标人按中标金额1‰向公证机关/见证律师交纳公证费/见证律师费，(不足500元，按500元收取,上限1000元/每包）。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30</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技术部分评审依据内容</w:t>
            </w:r>
          </w:p>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（综合对比）</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1、制造商公开发布的印刷资料或彩页等；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2、检测机构出具的检测报告；</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3、技术响应表；</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4、投标详细技术描述、建设方案等；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招标文件解释权</w:t>
            </w:r>
          </w:p>
        </w:tc>
        <w:tc>
          <w:tcPr>
            <w:tcW w:w="3795"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32</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同一品牌产品相关问题</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2、非单一产品采购项目中核心产品的确定原则：</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（1）第八部分技术要求及说明中规定核心产品的，以核心产品参照上述第1款的规定。</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33</w:t>
            </w:r>
          </w:p>
        </w:tc>
        <w:tc>
          <w:tcPr>
            <w:tcW w:w="869" w:type="pct"/>
            <w:vAlign w:val="center"/>
          </w:tcPr>
          <w:p>
            <w:pPr>
              <w:adjustRightInd w:val="0"/>
              <w:snapToGrid w:val="0"/>
              <w:spacing w:line="240" w:lineRule="auto"/>
              <w:ind w:firstLine="0" w:firstLineChars="0"/>
              <w:jc w:val="center"/>
              <w:rPr>
                <w:rFonts w:ascii="仿宋" w:hAnsi="仿宋" w:cs="仿宋"/>
                <w:szCs w:val="24"/>
                <w:lang w:val="en-GB"/>
              </w:rPr>
            </w:pPr>
            <w:r>
              <w:rPr>
                <w:rFonts w:hint="eastAsia" w:ascii="仿宋" w:hAnsi="仿宋" w:cs="仿宋"/>
                <w:szCs w:val="24"/>
                <w:lang w:val="en-GB"/>
              </w:rPr>
              <w:t>其他</w:t>
            </w:r>
          </w:p>
        </w:tc>
        <w:tc>
          <w:tcPr>
            <w:tcW w:w="3795" w:type="pct"/>
            <w:vAlign w:val="center"/>
          </w:tcPr>
          <w:p>
            <w:pPr>
              <w:adjustRightInd w:val="0"/>
              <w:snapToGrid w:val="0"/>
              <w:spacing w:line="240" w:lineRule="auto"/>
              <w:ind w:firstLine="0" w:firstLineChars="0"/>
              <w:rPr>
                <w:rFonts w:ascii="仿宋" w:hAnsi="仿宋" w:cs="仿宋"/>
                <w:szCs w:val="24"/>
              </w:rPr>
            </w:pPr>
            <w:r>
              <w:rPr>
                <w:rFonts w:hint="eastAsia" w:ascii="仿宋" w:hAnsi="仿宋" w:cs="仿宋"/>
                <w:szCs w:val="24"/>
              </w:rPr>
              <w:t>1、中标人所有投标文件的所有权（包括知识产权）归采购人所有。</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2、采购人提供的相关资料只供本次招标活动使用，各投标人应承担保密义务，不得擅自拷贝和传播。</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3、各投标人的调研费、差旅费及所获补偿金、奖金的税费自理。</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4、所有提交成果一律不退回。</w:t>
            </w:r>
          </w:p>
          <w:p>
            <w:pPr>
              <w:adjustRightInd w:val="0"/>
              <w:snapToGrid w:val="0"/>
              <w:spacing w:line="240" w:lineRule="auto"/>
              <w:ind w:firstLine="0" w:firstLineChars="0"/>
              <w:rPr>
                <w:rFonts w:ascii="仿宋" w:hAnsi="仿宋" w:cs="仿宋"/>
                <w:szCs w:val="24"/>
              </w:rPr>
            </w:pPr>
            <w:r>
              <w:rPr>
                <w:rFonts w:hint="eastAsia" w:ascii="仿宋" w:hAnsi="仿宋" w:cs="仿宋"/>
                <w:szCs w:val="24"/>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ascii="仿宋" w:hAnsi="仿宋" w:cs="仿宋"/>
                <w:szCs w:val="24"/>
              </w:rPr>
            </w:pPr>
            <w:r>
              <w:rPr>
                <w:rFonts w:hint="eastAsia" w:ascii="仿宋" w:hAnsi="仿宋" w:cs="仿宋"/>
                <w:szCs w:val="24"/>
              </w:rPr>
              <w:t>34</w:t>
            </w:r>
          </w:p>
        </w:tc>
        <w:tc>
          <w:tcPr>
            <w:tcW w:w="869" w:type="pct"/>
            <w:vAlign w:val="center"/>
          </w:tcPr>
          <w:p>
            <w:pPr>
              <w:adjustRightInd w:val="0"/>
              <w:snapToGrid w:val="0"/>
              <w:spacing w:line="240" w:lineRule="auto"/>
              <w:ind w:firstLine="0" w:firstLineChars="0"/>
              <w:jc w:val="center"/>
              <w:rPr>
                <w:rFonts w:ascii="仿宋" w:hAnsi="仿宋" w:cs="仿宋"/>
                <w:lang w:val="en-GB"/>
              </w:rPr>
            </w:pPr>
            <w:r>
              <w:rPr>
                <w:rFonts w:hint="eastAsia" w:ascii="仿宋" w:hAnsi="仿宋" w:cs="仿宋"/>
                <w:lang w:val="en-GB"/>
              </w:rPr>
              <w:t>投标注意事项</w:t>
            </w:r>
          </w:p>
        </w:tc>
        <w:tc>
          <w:tcPr>
            <w:tcW w:w="3795" w:type="pct"/>
            <w:vAlign w:val="center"/>
          </w:tcPr>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注：</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（2）注册地非山东省的投标人，须提供注册地省份相关网站查询记录。</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ascii="仿宋" w:hAnsi="仿宋" w:cs="仿宋"/>
                <w:szCs w:val="21"/>
              </w:rPr>
            </w:pPr>
            <w:r>
              <w:rPr>
                <w:rFonts w:hint="eastAsia" w:ascii="仿宋" w:hAnsi="仿宋" w:cs="仿宋"/>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ascii="仿宋" w:hAnsi="仿宋" w:cs="仿宋"/>
                <w:szCs w:val="21"/>
              </w:rPr>
            </w:pPr>
            <w:r>
              <w:rPr>
                <w:rFonts w:hint="eastAsia" w:ascii="仿宋" w:hAnsi="仿宋" w:cs="仿宋"/>
                <w:b/>
                <w:szCs w:val="21"/>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9"/>
              <w:adjustRightInd w:val="0"/>
              <w:snapToGrid w:val="0"/>
              <w:rPr>
                <w:rFonts w:ascii="仿宋" w:hAnsi="仿宋" w:eastAsia="仿宋" w:cs="仿宋"/>
                <w:sz w:val="24"/>
              </w:rPr>
            </w:pPr>
            <w:r>
              <w:rPr>
                <w:rFonts w:hint="eastAsia" w:ascii="仿宋" w:hAnsi="仿宋" w:eastAsia="仿宋" w:cs="仿宋"/>
                <w:sz w:val="24"/>
              </w:rPr>
              <w:t>6、本项目实行资格后审，报名成功不代表开标结束后通过资格审查。</w:t>
            </w:r>
          </w:p>
        </w:tc>
      </w:tr>
    </w:tbl>
    <w:p>
      <w:pPr>
        <w:pStyle w:val="33"/>
        <w:ind w:firstLine="0" w:firstLineChars="0"/>
        <w:rPr>
          <w:rFonts w:ascii="仿宋" w:hAnsi="仿宋" w:cs="仿宋"/>
        </w:rPr>
      </w:pPr>
    </w:p>
    <w:p>
      <w:pPr>
        <w:pStyle w:val="33"/>
        <w:ind w:firstLine="0" w:firstLineChars="0"/>
        <w:rPr>
          <w:rFonts w:ascii="仿宋" w:hAnsi="仿宋" w:cs="仿宋"/>
        </w:rPr>
      </w:pPr>
      <w:r>
        <w:rPr>
          <w:rFonts w:hint="eastAsia" w:ascii="仿宋" w:hAnsi="仿宋" w:cs="仿宋"/>
        </w:rPr>
        <w:t>说明：本表内容与招标文件其他部分内容不一致的，应当以本表内容为准。</w:t>
      </w:r>
    </w:p>
    <w:p>
      <w:pPr>
        <w:pStyle w:val="33"/>
        <w:ind w:firstLine="0" w:firstLineChars="0"/>
        <w:rPr>
          <w:rFonts w:ascii="仿宋" w:hAnsi="仿宋" w:cs="仿宋"/>
        </w:rPr>
      </w:pPr>
    </w:p>
    <w:p>
      <w:pPr>
        <w:pStyle w:val="33"/>
        <w:ind w:firstLine="0" w:firstLineChars="0"/>
        <w:rPr>
          <w:rFonts w:ascii="仿宋" w:hAnsi="仿宋" w:cs="仿宋"/>
        </w:rPr>
      </w:pPr>
    </w:p>
    <w:p>
      <w:pPr>
        <w:widowControl/>
        <w:spacing w:line="240" w:lineRule="auto"/>
        <w:ind w:firstLine="0" w:firstLineChars="0"/>
        <w:rPr>
          <w:rFonts w:ascii="仿宋" w:hAnsi="仿宋" w:cs="仿宋"/>
          <w:b/>
          <w:sz w:val="32"/>
          <w:szCs w:val="32"/>
        </w:rPr>
      </w:pP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5" w:name="_Toc106784520"/>
      <w:bookmarkStart w:id="6" w:name="_Toc106784593"/>
      <w:r>
        <w:rPr>
          <w:rFonts w:hint="eastAsia" w:ascii="仿宋" w:hAnsi="仿宋" w:cs="仿宋"/>
          <w:b/>
          <w:sz w:val="32"/>
          <w:szCs w:val="32"/>
        </w:rPr>
        <w:t>第七部分评标方法和评分细则</w:t>
      </w:r>
      <w:bookmarkEnd w:id="5"/>
      <w:bookmarkEnd w:id="6"/>
    </w:p>
    <w:p>
      <w:pPr>
        <w:ind w:firstLine="562"/>
        <w:outlineLvl w:val="1"/>
        <w:rPr>
          <w:rFonts w:ascii="仿宋" w:hAnsi="仿宋" w:cs="仿宋"/>
          <w:b/>
          <w:sz w:val="28"/>
          <w:szCs w:val="28"/>
        </w:rPr>
      </w:pPr>
      <w:bookmarkStart w:id="7" w:name="_Toc69110205"/>
      <w:bookmarkStart w:id="8" w:name="_Toc106784521"/>
      <w:bookmarkStart w:id="9" w:name="_Toc106784594"/>
      <w:r>
        <w:rPr>
          <w:rFonts w:hint="eastAsia" w:ascii="仿宋" w:hAnsi="仿宋" w:cs="仿宋"/>
          <w:b/>
          <w:sz w:val="28"/>
          <w:szCs w:val="28"/>
        </w:rPr>
        <w:t>一、评标方法</w:t>
      </w:r>
      <w:bookmarkEnd w:id="7"/>
      <w:bookmarkEnd w:id="8"/>
      <w:bookmarkEnd w:id="9"/>
    </w:p>
    <w:p>
      <w:pPr>
        <w:pStyle w:val="33"/>
        <w:spacing w:line="360" w:lineRule="auto"/>
        <w:ind w:firstLine="480"/>
        <w:rPr>
          <w:rFonts w:ascii="仿宋" w:hAnsi="仿宋" w:cs="仿宋"/>
        </w:rPr>
      </w:pPr>
      <w:r>
        <w:rPr>
          <w:rFonts w:hint="eastAsia" w:ascii="仿宋" w:hAnsi="仿宋" w:cs="仿宋"/>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ind w:firstLine="562"/>
        <w:outlineLvl w:val="1"/>
        <w:rPr>
          <w:rFonts w:ascii="仿宋" w:hAnsi="仿宋" w:cs="仿宋"/>
          <w:b/>
          <w:sz w:val="28"/>
          <w:szCs w:val="28"/>
        </w:rPr>
      </w:pPr>
      <w:bookmarkStart w:id="10" w:name="_Toc106784595"/>
      <w:bookmarkStart w:id="11" w:name="_Toc69110206"/>
      <w:bookmarkStart w:id="12" w:name="_Toc106784522"/>
      <w:r>
        <w:rPr>
          <w:rFonts w:hint="eastAsia" w:ascii="仿宋" w:hAnsi="仿宋" w:cs="仿宋"/>
          <w:b/>
          <w:sz w:val="28"/>
          <w:szCs w:val="28"/>
        </w:rPr>
        <w:t>二、</w:t>
      </w:r>
      <w:bookmarkEnd w:id="10"/>
      <w:bookmarkEnd w:id="11"/>
      <w:bookmarkEnd w:id="12"/>
      <w:r>
        <w:rPr>
          <w:rFonts w:hint="eastAsia" w:ascii="仿宋" w:hAnsi="仿宋" w:cs="仿宋"/>
          <w:b/>
          <w:sz w:val="28"/>
          <w:szCs w:val="28"/>
        </w:rPr>
        <w:t>评分细则</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center"/>
              <w:rPr>
                <w:rFonts w:ascii="仿宋" w:hAnsi="仿宋" w:cs="仿宋"/>
                <w:bCs/>
              </w:rPr>
            </w:pPr>
            <w:bookmarkStart w:id="13" w:name="_Toc69110207"/>
            <w:bookmarkStart w:id="14" w:name="_Toc106784523"/>
            <w:bookmarkStart w:id="15" w:name="_Toc106784596"/>
            <w:r>
              <w:rPr>
                <w:rFonts w:hint="eastAsia" w:ascii="仿宋" w:hAnsi="仿宋" w:cs="仿宋"/>
                <w:bCs/>
              </w:rPr>
              <w:t>投标报价</w:t>
            </w:r>
          </w:p>
          <w:p>
            <w:pPr>
              <w:pStyle w:val="11"/>
              <w:spacing w:after="0" w:line="480" w:lineRule="exact"/>
              <w:ind w:firstLine="480"/>
              <w:rPr>
                <w:rFonts w:ascii="仿宋" w:hAnsi="仿宋" w:cs="仿宋"/>
                <w:bCs/>
              </w:rPr>
            </w:pPr>
            <w:r>
              <w:rPr>
                <w:rFonts w:hint="eastAsia" w:ascii="仿宋" w:hAnsi="仿宋" w:cs="仿宋"/>
                <w:bCs/>
              </w:rPr>
              <w:t>30分</w:t>
            </w:r>
          </w:p>
        </w:tc>
        <w:tc>
          <w:tcPr>
            <w:tcW w:w="7512" w:type="dxa"/>
            <w:vAlign w:val="center"/>
          </w:tcPr>
          <w:p>
            <w:pPr>
              <w:pStyle w:val="11"/>
              <w:spacing w:after="0" w:line="480" w:lineRule="exact"/>
              <w:ind w:firstLine="0" w:firstLineChars="0"/>
              <w:rPr>
                <w:rFonts w:ascii="仿宋" w:hAnsi="仿宋" w:cs="仿宋"/>
                <w:bCs/>
              </w:rPr>
            </w:pPr>
            <w:r>
              <w:rPr>
                <w:rFonts w:hint="eastAsia" w:ascii="仿宋" w:hAnsi="仿宋" w:cs="仿宋"/>
                <w:bCs/>
              </w:rPr>
              <w:t>以满足招标文件要求且投标价格最低的投标报价为评标基准价，其价格分为满分30分，其他投标人的价格分按照下列公式计算：投标报价得分=（评标基准价/投标报价）×30%×100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center"/>
              <w:rPr>
                <w:rFonts w:ascii="仿宋" w:hAnsi="仿宋" w:cs="仿宋"/>
                <w:bCs/>
              </w:rPr>
            </w:pPr>
            <w:r>
              <w:rPr>
                <w:rFonts w:hint="eastAsia" w:ascii="仿宋" w:hAnsi="仿宋" w:cs="仿宋"/>
                <w:bCs/>
              </w:rPr>
              <w:t>对采购文件技术规格要求的响应程度34分</w:t>
            </w:r>
          </w:p>
        </w:tc>
        <w:tc>
          <w:tcPr>
            <w:tcW w:w="7512" w:type="dxa"/>
            <w:vAlign w:val="center"/>
          </w:tcPr>
          <w:p>
            <w:pPr>
              <w:pStyle w:val="11"/>
              <w:spacing w:after="0" w:line="480" w:lineRule="exact"/>
              <w:ind w:firstLine="0" w:firstLineChars="0"/>
              <w:rPr>
                <w:rFonts w:ascii="仿宋" w:hAnsi="仿宋" w:cs="仿宋"/>
                <w:bCs/>
              </w:rPr>
            </w:pPr>
            <w:r>
              <w:rPr>
                <w:rFonts w:hint="eastAsia" w:ascii="仿宋" w:hAnsi="仿宋" w:cs="仿宋"/>
                <w:bCs/>
              </w:rPr>
              <w:t>参数全部满足，得34分；每存在一项负偏离减2分，投标文件负偏离达到15条及以上的，评标委员会可视为其投标文件不满足招标文件技术要求，本项得0分。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center"/>
              <w:rPr>
                <w:rFonts w:ascii="仿宋" w:hAnsi="仿宋" w:cs="仿宋"/>
                <w:bCs/>
              </w:rPr>
            </w:pPr>
            <w:r>
              <w:rPr>
                <w:rFonts w:hint="eastAsia" w:ascii="仿宋" w:hAnsi="仿宋" w:cs="仿宋"/>
                <w:bCs/>
              </w:rPr>
              <w:t>实施方案</w:t>
            </w:r>
          </w:p>
          <w:p>
            <w:pPr>
              <w:pStyle w:val="11"/>
              <w:spacing w:after="0" w:line="480" w:lineRule="exact"/>
              <w:ind w:firstLine="0" w:firstLineChars="0"/>
              <w:jc w:val="center"/>
              <w:rPr>
                <w:rFonts w:ascii="仿宋" w:hAnsi="仿宋" w:cs="仿宋"/>
                <w:bCs/>
              </w:rPr>
            </w:pPr>
            <w:r>
              <w:rPr>
                <w:rFonts w:hint="eastAsia" w:ascii="仿宋" w:hAnsi="仿宋" w:cs="仿宋"/>
                <w:bCs/>
              </w:rPr>
              <w:t>6分</w:t>
            </w:r>
          </w:p>
        </w:tc>
        <w:tc>
          <w:tcPr>
            <w:tcW w:w="7512" w:type="dxa"/>
            <w:vAlign w:val="center"/>
          </w:tcPr>
          <w:p>
            <w:pPr>
              <w:pStyle w:val="11"/>
              <w:spacing w:after="0" w:line="480" w:lineRule="exact"/>
              <w:ind w:firstLine="0" w:firstLineChars="0"/>
              <w:rPr>
                <w:rFonts w:ascii="仿宋" w:hAnsi="仿宋" w:cs="仿宋"/>
                <w:bCs/>
              </w:rPr>
            </w:pPr>
            <w:r>
              <w:rPr>
                <w:rFonts w:hint="eastAsia" w:ascii="仿宋" w:hAnsi="仿宋" w:cs="仿宋"/>
                <w:bCs/>
              </w:rPr>
              <w:t>对供应商提供的具体实施方案进行评审，根据项目实施进度、质量保证措施等进行综合评审，每项完全满足得3分，满分6分每有一项不足扣1分。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both"/>
              <w:rPr>
                <w:rFonts w:ascii="仿宋" w:hAnsi="仿宋" w:cs="仿宋"/>
                <w:bCs/>
              </w:rPr>
            </w:pPr>
            <w:r>
              <w:rPr>
                <w:rFonts w:hint="eastAsia" w:ascii="仿宋" w:hAnsi="仿宋" w:cs="仿宋"/>
                <w:bCs/>
              </w:rPr>
              <w:t>存储、运输及应急方案12分</w:t>
            </w:r>
          </w:p>
        </w:tc>
        <w:tc>
          <w:tcPr>
            <w:tcW w:w="7512" w:type="dxa"/>
            <w:vAlign w:val="center"/>
          </w:tcPr>
          <w:p>
            <w:pPr>
              <w:pStyle w:val="11"/>
              <w:spacing w:after="0" w:line="480" w:lineRule="exact"/>
              <w:ind w:firstLine="0" w:firstLineChars="0"/>
              <w:rPr>
                <w:rFonts w:ascii="仿宋" w:hAnsi="仿宋" w:cs="仿宋"/>
                <w:bCs/>
              </w:rPr>
            </w:pPr>
            <w:r>
              <w:rPr>
                <w:rFonts w:hint="eastAsia" w:ascii="仿宋" w:hAnsi="仿宋" w:cs="仿宋"/>
                <w:bCs/>
              </w:rPr>
              <w:t>供应商或制造商有详细、符合项目实际的需求的运输、存储方案及应急方案的等综合评分。运输、储存方案及应急方案完全满足项目需求，切实可行，具有针对性的得12分，如运输、储存方案及应急方案没有针对性、不切实际等，每存在一项扣1分，对于偏差内容较大之处，每存在一项扣4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center"/>
              <w:rPr>
                <w:rFonts w:ascii="仿宋" w:hAnsi="仿宋" w:cs="仿宋"/>
                <w:bCs/>
              </w:rPr>
            </w:pPr>
            <w:r>
              <w:rPr>
                <w:rFonts w:hint="eastAsia" w:ascii="仿宋" w:hAnsi="仿宋" w:cs="仿宋"/>
                <w:bCs/>
              </w:rPr>
              <w:t>服务支持</w:t>
            </w:r>
          </w:p>
          <w:p>
            <w:pPr>
              <w:pStyle w:val="11"/>
              <w:spacing w:after="0" w:line="480" w:lineRule="exact"/>
              <w:ind w:firstLine="0" w:firstLineChars="0"/>
              <w:jc w:val="center"/>
              <w:rPr>
                <w:rFonts w:ascii="仿宋" w:hAnsi="仿宋" w:cs="仿宋"/>
                <w:bCs/>
              </w:rPr>
            </w:pPr>
            <w:r>
              <w:rPr>
                <w:rFonts w:hint="eastAsia" w:ascii="仿宋" w:hAnsi="仿宋" w:cs="仿宋"/>
                <w:bCs/>
              </w:rPr>
              <w:t>15分</w:t>
            </w:r>
          </w:p>
        </w:tc>
        <w:tc>
          <w:tcPr>
            <w:tcW w:w="7512" w:type="dxa"/>
          </w:tcPr>
          <w:p>
            <w:pPr>
              <w:tabs>
                <w:tab w:val="left" w:pos="7215"/>
              </w:tabs>
              <w:ind w:firstLine="0" w:firstLineChars="0"/>
              <w:rPr>
                <w:rFonts w:ascii="仿宋" w:hAnsi="仿宋" w:cs="仿宋"/>
                <w:bCs/>
              </w:rPr>
            </w:pPr>
            <w:r>
              <w:rPr>
                <w:rFonts w:hint="eastAsia" w:ascii="仿宋" w:hAnsi="仿宋" w:cs="仿宋"/>
                <w:szCs w:val="24"/>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vAlign w:val="center"/>
          </w:tcPr>
          <w:p>
            <w:pPr>
              <w:pStyle w:val="11"/>
              <w:spacing w:after="0" w:line="480" w:lineRule="exact"/>
              <w:ind w:firstLine="0" w:firstLineChars="0"/>
              <w:jc w:val="center"/>
              <w:rPr>
                <w:rFonts w:ascii="仿宋" w:hAnsi="仿宋" w:cs="仿宋"/>
                <w:bCs/>
              </w:rPr>
            </w:pPr>
            <w:r>
              <w:rPr>
                <w:rFonts w:hint="eastAsia" w:ascii="仿宋" w:hAnsi="仿宋" w:cs="仿宋"/>
                <w:bCs/>
              </w:rPr>
              <w:t>业绩</w:t>
            </w:r>
          </w:p>
          <w:p>
            <w:pPr>
              <w:pStyle w:val="11"/>
              <w:spacing w:after="0" w:line="480" w:lineRule="exact"/>
              <w:ind w:firstLine="0" w:firstLineChars="0"/>
              <w:jc w:val="center"/>
              <w:rPr>
                <w:rFonts w:ascii="仿宋" w:hAnsi="仿宋" w:cs="仿宋"/>
                <w:bCs/>
              </w:rPr>
            </w:pPr>
            <w:r>
              <w:rPr>
                <w:rFonts w:hint="eastAsia" w:ascii="仿宋" w:hAnsi="仿宋" w:cs="仿宋"/>
                <w:bCs/>
              </w:rPr>
              <w:t>3分</w:t>
            </w:r>
          </w:p>
        </w:tc>
        <w:tc>
          <w:tcPr>
            <w:tcW w:w="7512" w:type="dxa"/>
            <w:vAlign w:val="center"/>
          </w:tcPr>
          <w:p>
            <w:pPr>
              <w:pStyle w:val="11"/>
              <w:spacing w:after="0" w:line="480" w:lineRule="exact"/>
              <w:ind w:firstLine="0" w:firstLineChars="0"/>
              <w:rPr>
                <w:rFonts w:ascii="仿宋" w:hAnsi="仿宋" w:cs="仿宋"/>
                <w:bCs/>
              </w:rPr>
            </w:pPr>
            <w:r>
              <w:rPr>
                <w:rFonts w:hint="eastAsia" w:ascii="仿宋" w:hAnsi="仿宋" w:cs="仿宋"/>
                <w:bCs/>
              </w:rPr>
              <w:t>根据供应商所投产品近三年（2020年10月至投标截止日止，以合同签订时间为准）完成同类项目的业绩，每提供1项业绩得1分，最高得3分。注：1.供应商需提供中标合同复印件，否则业绩不予认可。</w:t>
            </w:r>
          </w:p>
          <w:p>
            <w:pPr>
              <w:pStyle w:val="11"/>
              <w:spacing w:after="0" w:line="480" w:lineRule="exact"/>
              <w:ind w:firstLine="0" w:firstLineChars="0"/>
              <w:rPr>
                <w:rFonts w:ascii="仿宋" w:hAnsi="仿宋" w:cs="仿宋"/>
                <w:bCs/>
              </w:rPr>
            </w:pPr>
            <w:r>
              <w:rPr>
                <w:rFonts w:hint="eastAsia" w:ascii="仿宋" w:hAnsi="仿宋" w:cs="仿宋"/>
                <w:bCs/>
              </w:rPr>
              <w:t>2.需为投标产品销售至最终使用单位的业绩合同。</w:t>
            </w:r>
          </w:p>
        </w:tc>
      </w:tr>
    </w:tbl>
    <w:p>
      <w:pPr>
        <w:ind w:firstLine="281" w:firstLineChars="100"/>
        <w:outlineLvl w:val="1"/>
        <w:rPr>
          <w:rFonts w:ascii="仿宋" w:hAnsi="仿宋" w:cs="仿宋"/>
          <w:b/>
          <w:sz w:val="28"/>
          <w:szCs w:val="28"/>
        </w:rPr>
      </w:pPr>
      <w:r>
        <w:rPr>
          <w:rFonts w:hint="eastAsia" w:ascii="仿宋" w:hAnsi="仿宋" w:cs="仿宋"/>
          <w:b/>
          <w:sz w:val="28"/>
          <w:szCs w:val="28"/>
        </w:rPr>
        <w:t>三、初步审查属于无效投标的条款</w:t>
      </w:r>
      <w:bookmarkEnd w:id="13"/>
      <w:bookmarkEnd w:id="14"/>
      <w:bookmarkEnd w:id="15"/>
    </w:p>
    <w:p>
      <w:pPr>
        <w:pStyle w:val="33"/>
        <w:spacing w:line="360" w:lineRule="auto"/>
        <w:ind w:firstLine="480"/>
        <w:rPr>
          <w:rFonts w:ascii="仿宋" w:hAnsi="仿宋" w:cs="仿宋"/>
        </w:rPr>
      </w:pPr>
      <w:r>
        <w:rPr>
          <w:rFonts w:hint="eastAsia" w:ascii="仿宋" w:hAnsi="仿宋" w:cs="仿宋"/>
        </w:rPr>
        <w:t>★投标文件有以下情况之一的，在资格性和符合性审查时按无效投标处理，不得进入详细评审阶段：</w:t>
      </w:r>
    </w:p>
    <w:p>
      <w:pPr>
        <w:pStyle w:val="33"/>
        <w:spacing w:line="360" w:lineRule="auto"/>
        <w:ind w:firstLine="480"/>
        <w:rPr>
          <w:rFonts w:ascii="仿宋" w:hAnsi="仿宋" w:cs="仿宋"/>
        </w:rPr>
      </w:pPr>
      <w:r>
        <w:rPr>
          <w:rFonts w:hint="eastAsia" w:ascii="仿宋" w:hAnsi="仿宋" w:cs="仿宋"/>
        </w:rPr>
        <w:t>1、不具备招标文件中规定的资格要求的；</w:t>
      </w:r>
    </w:p>
    <w:p>
      <w:pPr>
        <w:pStyle w:val="33"/>
        <w:spacing w:line="360" w:lineRule="auto"/>
        <w:ind w:firstLine="480"/>
        <w:rPr>
          <w:rFonts w:ascii="仿宋" w:hAnsi="仿宋" w:cs="仿宋"/>
        </w:rPr>
      </w:pPr>
      <w:r>
        <w:rPr>
          <w:rFonts w:hint="eastAsia" w:ascii="仿宋" w:hAnsi="仿宋" w:cs="仿宋"/>
        </w:rPr>
        <w:t>2、未从采购代理机构报名并取得招标文件的；</w:t>
      </w:r>
    </w:p>
    <w:p>
      <w:pPr>
        <w:pStyle w:val="33"/>
        <w:spacing w:line="360" w:lineRule="auto"/>
        <w:ind w:firstLine="480"/>
        <w:rPr>
          <w:rFonts w:ascii="仿宋" w:hAnsi="仿宋" w:cs="仿宋"/>
        </w:rPr>
      </w:pPr>
      <w:r>
        <w:rPr>
          <w:rFonts w:hint="eastAsia" w:ascii="仿宋" w:hAnsi="仿宋" w:cs="仿宋"/>
        </w:rPr>
        <w:t>3、投标文件未按招标文件规定要求编制、签署、盖章的；</w:t>
      </w:r>
    </w:p>
    <w:p>
      <w:pPr>
        <w:pStyle w:val="33"/>
        <w:spacing w:line="360" w:lineRule="auto"/>
        <w:ind w:firstLine="480"/>
        <w:rPr>
          <w:rFonts w:ascii="仿宋" w:hAnsi="仿宋" w:cs="仿宋"/>
        </w:rPr>
      </w:pPr>
      <w:r>
        <w:rPr>
          <w:rFonts w:hint="eastAsia" w:ascii="仿宋" w:hAnsi="仿宋" w:cs="仿宋"/>
        </w:rPr>
        <w:t>4、投标有效期不满足招标文件要求的；</w:t>
      </w:r>
    </w:p>
    <w:p>
      <w:pPr>
        <w:pStyle w:val="33"/>
        <w:spacing w:line="360" w:lineRule="auto"/>
        <w:ind w:firstLine="480"/>
        <w:rPr>
          <w:rFonts w:ascii="仿宋" w:hAnsi="仿宋" w:cs="仿宋"/>
        </w:rPr>
      </w:pPr>
      <w:r>
        <w:rPr>
          <w:rFonts w:hint="eastAsia" w:ascii="仿宋" w:hAnsi="仿宋" w:cs="仿宋"/>
        </w:rPr>
        <w:t>5、投标文件含有采购人不能接受的附加条件的；</w:t>
      </w:r>
    </w:p>
    <w:p>
      <w:pPr>
        <w:pStyle w:val="33"/>
        <w:spacing w:line="360" w:lineRule="auto"/>
        <w:ind w:firstLine="480"/>
        <w:rPr>
          <w:rFonts w:ascii="仿宋" w:hAnsi="仿宋" w:cs="仿宋"/>
        </w:rPr>
      </w:pPr>
      <w:r>
        <w:rPr>
          <w:rFonts w:hint="eastAsia" w:ascii="仿宋" w:hAnsi="仿宋" w:cs="仿宋"/>
        </w:rPr>
        <w:t>6、未按招标文件要求报价的；</w:t>
      </w:r>
    </w:p>
    <w:p>
      <w:pPr>
        <w:pStyle w:val="33"/>
        <w:spacing w:line="360" w:lineRule="auto"/>
        <w:ind w:firstLine="480"/>
        <w:rPr>
          <w:rFonts w:ascii="仿宋" w:hAnsi="仿宋" w:cs="仿宋"/>
        </w:rPr>
      </w:pPr>
      <w:r>
        <w:rPr>
          <w:rFonts w:hint="eastAsia" w:ascii="仿宋" w:hAnsi="仿宋" w:cs="仿宋"/>
        </w:rPr>
        <w:t>7、报价超过招标文件中规定的预算金额或者最高限价的；</w:t>
      </w:r>
    </w:p>
    <w:p>
      <w:pPr>
        <w:pStyle w:val="33"/>
        <w:spacing w:line="360" w:lineRule="auto"/>
        <w:ind w:firstLine="480"/>
        <w:rPr>
          <w:rFonts w:ascii="仿宋" w:hAnsi="仿宋" w:cs="仿宋"/>
        </w:rPr>
      </w:pPr>
      <w:r>
        <w:rPr>
          <w:rFonts w:hint="eastAsia" w:ascii="仿宋" w:hAnsi="仿宋" w:cs="仿宋"/>
        </w:rPr>
        <w:t>8、未经许可，以进口产品参与投标的；</w:t>
      </w:r>
    </w:p>
    <w:p>
      <w:pPr>
        <w:pStyle w:val="33"/>
        <w:spacing w:line="360" w:lineRule="auto"/>
        <w:ind w:firstLine="480"/>
        <w:rPr>
          <w:rFonts w:ascii="仿宋" w:hAnsi="仿宋" w:cs="仿宋"/>
        </w:rPr>
      </w:pPr>
      <w:r>
        <w:rPr>
          <w:rFonts w:hint="eastAsia" w:ascii="仿宋" w:hAnsi="仿宋" w:cs="仿宋"/>
        </w:rPr>
        <w:t>9、投标文件没有对招标文件的实质性要求部分（包含投标人须知附表要求部分）和条件或标注★部分作出响应或响应不全面、不规范的；</w:t>
      </w:r>
    </w:p>
    <w:p>
      <w:pPr>
        <w:pStyle w:val="33"/>
        <w:spacing w:line="360" w:lineRule="auto"/>
        <w:ind w:firstLine="480"/>
        <w:rPr>
          <w:rFonts w:ascii="仿宋" w:hAnsi="仿宋" w:cs="仿宋"/>
        </w:rPr>
      </w:pPr>
      <w:r>
        <w:rPr>
          <w:rFonts w:hint="eastAsia" w:ascii="仿宋" w:hAnsi="仿宋" w:cs="仿宋"/>
        </w:rPr>
        <w:t>10、有重大偏离且采购人不能接受的；</w:t>
      </w:r>
    </w:p>
    <w:p>
      <w:pPr>
        <w:pStyle w:val="33"/>
        <w:spacing w:line="360" w:lineRule="auto"/>
        <w:ind w:firstLine="480"/>
        <w:rPr>
          <w:rFonts w:ascii="仿宋" w:hAnsi="仿宋" w:cs="仿宋"/>
        </w:rPr>
      </w:pPr>
      <w:r>
        <w:rPr>
          <w:rFonts w:hint="eastAsia" w:ascii="仿宋" w:hAnsi="仿宋" w:cs="仿宋"/>
        </w:rPr>
        <w:t>11、不提供招标文件要求的任何形式技术资料的；</w:t>
      </w:r>
    </w:p>
    <w:p>
      <w:pPr>
        <w:pStyle w:val="33"/>
        <w:spacing w:line="360" w:lineRule="auto"/>
        <w:ind w:firstLine="480"/>
        <w:rPr>
          <w:rFonts w:ascii="仿宋" w:hAnsi="仿宋" w:cs="仿宋"/>
        </w:rPr>
      </w:pPr>
      <w:r>
        <w:rPr>
          <w:rFonts w:hint="eastAsia" w:ascii="仿宋" w:hAnsi="仿宋" w:cs="仿宋"/>
        </w:rPr>
        <w:t>12、同一投标人提交两个以上不同的投标文件或者投标报价，但招标文件要求提交备选方案的除外；</w:t>
      </w:r>
    </w:p>
    <w:p>
      <w:pPr>
        <w:pStyle w:val="33"/>
        <w:spacing w:line="360" w:lineRule="auto"/>
        <w:ind w:firstLine="480"/>
        <w:rPr>
          <w:rFonts w:ascii="仿宋" w:hAnsi="仿宋" w:cs="仿宋"/>
        </w:rPr>
      </w:pPr>
      <w:r>
        <w:rPr>
          <w:rFonts w:hint="eastAsia" w:ascii="仿宋" w:hAnsi="仿宋" w:cs="仿宋"/>
        </w:rPr>
        <w:t>13、法律、法规和招标文件规定的其他无效情形。</w:t>
      </w:r>
    </w:p>
    <w:p>
      <w:pPr>
        <w:ind w:firstLine="643"/>
        <w:rPr>
          <w:rFonts w:ascii="仿宋" w:hAnsi="仿宋" w:cs="仿宋"/>
          <w:b/>
          <w:sz w:val="32"/>
          <w:szCs w:val="32"/>
        </w:rPr>
      </w:pPr>
      <w:bookmarkStart w:id="16" w:name="_Toc106784524"/>
      <w:bookmarkStart w:id="17" w:name="_Toc106784597"/>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r>
        <w:rPr>
          <w:rFonts w:hint="eastAsia" w:ascii="仿宋" w:hAnsi="仿宋" w:cs="仿宋"/>
          <w:b/>
          <w:sz w:val="32"/>
          <w:szCs w:val="32"/>
        </w:rPr>
        <w:t>第八部分技术要求及说明</w:t>
      </w:r>
      <w:bookmarkEnd w:id="16"/>
      <w:bookmarkEnd w:id="17"/>
    </w:p>
    <w:p>
      <w:pPr>
        <w:pStyle w:val="33"/>
        <w:spacing w:line="360" w:lineRule="auto"/>
        <w:ind w:firstLineChars="83"/>
        <w:rPr>
          <w:rFonts w:ascii="仿宋" w:hAnsi="仿宋" w:cs="仿宋"/>
          <w:b/>
          <w:szCs w:val="24"/>
        </w:rPr>
      </w:pPr>
      <w:r>
        <w:rPr>
          <w:rFonts w:hint="eastAsia" w:ascii="仿宋" w:hAnsi="仿宋" w:cs="仿宋"/>
          <w:b/>
          <w:szCs w:val="24"/>
        </w:rPr>
        <w:t>一、技术参数要求</w:t>
      </w:r>
    </w:p>
    <w:p>
      <w:pPr>
        <w:widowControl/>
        <w:ind w:firstLine="482"/>
        <w:outlineLvl w:val="1"/>
        <w:rPr>
          <w:rFonts w:ascii="仿宋" w:hAnsi="仿宋" w:cs="仿宋"/>
          <w:b/>
          <w:bCs/>
          <w:szCs w:val="24"/>
        </w:rPr>
      </w:pPr>
      <w:r>
        <w:rPr>
          <w:rFonts w:hint="eastAsia" w:ascii="仿宋" w:hAnsi="仿宋" w:cs="仿宋"/>
          <w:b/>
          <w:bCs/>
          <w:szCs w:val="24"/>
        </w:rPr>
        <w:t>A包：预算128万元</w:t>
      </w:r>
    </w:p>
    <w:tbl>
      <w:tblPr>
        <w:tblStyle w:val="23"/>
        <w:tblW w:w="4997" w:type="pct"/>
        <w:tblInd w:w="0" w:type="dxa"/>
        <w:shd w:val="clear" w:color="auto" w:fill="auto"/>
        <w:tblLayout w:type="fixed"/>
        <w:tblCellMar>
          <w:top w:w="0" w:type="dxa"/>
          <w:left w:w="108" w:type="dxa"/>
          <w:bottom w:w="0" w:type="dxa"/>
          <w:right w:w="108" w:type="dxa"/>
        </w:tblCellMar>
      </w:tblPr>
      <w:tblGrid>
        <w:gridCol w:w="552"/>
        <w:gridCol w:w="1170"/>
        <w:gridCol w:w="882"/>
        <w:gridCol w:w="7244"/>
      </w:tblGrid>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DMEM</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700瓶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DMEM (Dulbecco's Modified Eagle Medium)是一种广泛使用的基础培养基，可用于支持很多种类的哺乳动物细胞生长。已经在 DMEM 中成功培养出的细胞包括原代成纤维细胞、神经元、胶质细胞、HUVEC、平滑肌细胞，以及 HeLa、293、Cos-7 和 PC-12 等细胞系。</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MEM Earle's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MEM (Minimum Essential Medium) 是一种较为常用的细胞培养基。MEM 可用于各种悬浮和贴壁的哺乳动物细胞的培养，包括 HeLa、BHK-21、293、HEP-2、HT-1080、MCF-7、成纤维细胞和原代大鼠星形胶质细胞等。</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RPMI 1640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270瓶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RPMI 1640 培养基最初是为了悬浮培养人白血病单层细胞而开发的。Roswell Park Memorial Institute (RPMI) 1640 培养基被发现适用于多种哺乳动物细胞，包括 HeLa 细胞、Jurkat 细胞、 MCF-7 细胞、PC12 细胞、PBMC 细胞、星形胶质细胞和癌细胞。</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MEM α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MEM α (Minimum Essential Medium α) 广泛用于哺乳动物细胞培养以及转染 DHFR 阴性细胞的筛选。MEM α 可用于各种悬浮和贴壁的哺乳动物细胞，包括角质形成细胞、原代大鼠星形胶质细胞和人黑色素瘤细胞。针对广泛的细胞培养应用，提供了多种组分的 MEM α 改良培养基。</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HBSS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Hanks' 平衡盐溶液 (HBSS) 适用于各种细胞培养应用，例如解离前清洗细胞、运输细胞或组织样品、稀释细胞进行计数和制备试剂。细胞解离前，需采用不含钙和镁的制剂冲洗掉培养物中螯合剂。</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Lipofectamine™ 3000 转染试剂</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48盒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1.5mL Lipofectamine™ 3000 转染试剂采用我们先进的脂肪纳米微粒技术，实现优越转染性能，具有改善的应用结局和可重现结果。对于多种难转染和常见的细胞（例如 HEK293、HeLa），该试剂可提供优越的转染效率和改善的细胞活力。</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DMEM/F-12</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DMEM/F-12（Dulbecco's Modified Eagle Medium/Nutrient Mixture F-12）是一种广泛使用的基础培养基，可用于支持很多不同种类的哺乳动物细胞生长。已在 DMEM/F-12 中成功培养的细胞包括 MDCK、神经胶质细胞、成纤维细胞、人内皮细胞及大鼠成纤维细胞。</w:t>
            </w:r>
          </w:p>
        </w:tc>
      </w:tr>
      <w:tr>
        <w:tblPrEx>
          <w:shd w:val="clear" w:color="auto" w:fill="auto"/>
          <w:tblCellMar>
            <w:top w:w="0" w:type="dxa"/>
            <w:left w:w="108" w:type="dxa"/>
            <w:bottom w:w="0" w:type="dxa"/>
            <w:right w:w="108" w:type="dxa"/>
          </w:tblCellMar>
        </w:tblPrEx>
        <w:trPr>
          <w:trHeight w:val="2473"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Fetal Bovine Serum, Premium Plus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•适用于多种细胞类型，尤其是敏感细胞系</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•内毒素水平：≤5 EU/mL</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•血红蛋白水平：≤20 mg/dL</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•原产地：具体原产地请参考（澳大利亚、新西兰）</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•美国农业部（USDA）对美国农业部批准进口到美国的国家的蓝舌兰和阿卡班进行了安全测试</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Gibco血清提供：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•ISO 13485认证；在美国食品药品监督管理局注册的设施中处理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•0.1µm三次过滤</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•Gibco瓶更易于在罩子中使用，降低污染风险，并有助于提高一致性</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•撕下标签上的贴纸，为实验室笔记本中的批号和有效期记录提供方便的参考</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SuperScript ™II 反转录酶</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2,000 units  SuperScript II 逆转录酶是经过基因改造的 MMLV 逆转录酶 (RT)，相较于野生型 MMLV RT，其 RNase H 活性较低，热稳定性较高。这种酶的 RNase H 结构域突变消除了在第一链 cDNA 合成过程中 RNA 的降解，从而使全长 cDNA 产量更高。</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Neurobasal™ 培养基</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59瓶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 Neurobasal 培养基是一种基础培养基，设计用于纯产前和胚胎神经元细胞群的长期维持和成熟，在与 B-27 补充剂配合使用时无需星形胶质细胞滋养层。</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Neurobasal 培养基适用于大多数神经元细胞应用。</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B27添加剂</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mL  作为引用较多的神经元细胞培养添加剂，B-27 添加剂是一种经过优化的无血清添加剂，用于支持胚胎、出生后和成年海马及其他 CNS 神经元的低密度或高密度生长以及短期或长期存活。B-27 添加剂以 50X 液体形式提供，适合与 Neurobasal 培养基或 Neurobasal-A 培养基配合使用进行神经元细胞培养，而无需星形胶质细胞滋养层。</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Restore™ 抗体剥离液</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Western Blot抗体剥离缓冲液能够安全高效地从硝化纤维膜和PVDF膜上清去除一抗和二抗，从而再次检测化学发光的蛋白质免疫印迹。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estore Western Blot抗体剥离缓冲液的特性：</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不需重新制胶电泳</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在同一张膜上使用相同的样品重新检测</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在抗体剥离及重新检测时不会对靶蛋白造成伤害</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不含硫醇</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Restore™ PLUS 加强型膜再生液</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35瓶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 mL Western Blot抗体剥离缓冲液是用于去除膜上结合的一抗和二抗的增强型配方，方便用户使用化学发光底物再次检测膜。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Restore PLUS Western Blot抗体剥离缓冲液的特点：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可在湿润或干燥的硝化纤维素膜和PVDF膜上使用；可与任何封闭缓冲液、酶偶联物和化学发光底物配合使用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有效保留转印蛋白，对印迹可进行五次抗体剥离操作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用于剥离和重新检测抗体以优化抗体浓度，或使用不同抗体检测新的抗原</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Retore PLUS抗体剥离缓冲液是Western Blot抗体剥离缓冲液经典版本的替代配方。Retore PLUS抗体剥离缓冲液配方温和，专为免疫印迹实验中难以去除、需要更长孵育时间或孵育温度在22°C以上的抗体而设计。本产品可在室温条件下快速高效地去除高亲和力抗体，而不会对转印蛋白造成影响，从而实现靶标蛋白的多次检测。</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N-2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5mL N-2 添加剂基于 Bottenstein’s N-1 配方，是一种化学成分确定的无血清添加剂。推荐用于支持源自外周神经系统和中枢神经系统的原代神经母细胞瘤及有丝分裂后神经元的生长和表达。N-2 添加剂作为 100X 浓缩液提供，可与补充生长因子（如 bFGF 和 EGF）后的 Neurobasal 培养基配合使用。</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细胞计数腔室载玻片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 slides Countess™ 细胞计数腔室载玻片设计与 Countess™ 自动细胞计数仪配合使用。此套装包括 100 盒载玻片（50 张载玻片/盒），以及 2 × 100 mL 的台盼蓝 (0.4%)。</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Countess™ 细胞计数腔室载玻片采用单独包装，便于您使用。每个载玻片具有两个独立的封闭腔室，可用于对同一样品平行进行两次计数，或对两个不同的样品进行计数。细胞计数发生在计数腔室的中心位置。计数体积为 0.4 µL，与标准血细胞计数器中计数 4 个 1-mm2 的正方形相同。使用后，可将 Countess™ 载玻片与您常规的生物危害废弃物一起处理。与血细胞计数器不同，Countess™ 载玻片使用前后无需清洗。</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Countess™ 自动细胞计数仪的 3 个简单的工作步骤：</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1.将 10 µL 样品与 10 µL 台盼蓝混合，然后移液至一次性 Countess™ 腔室玻片中。</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2.在仪器中插入载玻片。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3.按下“细胞计数”按钮。</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xml:space="preserve"> 30 秒即可获得细胞总数、活细胞百分比和平均细胞大小。</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Opti-MEM™ I Reduced Serum Medium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40瓶</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 Opti-MEM™ I 减血清培养基是一种经过改良的最低必需培养基 (MEM)，能够使胎牛血清添加量减少至少 50%，而生长速率或形态无变化。还推荐 Opti-MEM™ I 培养基与阳离子脂质体转染试剂（如 Lipofectamine™ 试剂）配套使用。Opti-MEM™ I 培养基可用于各种悬浮和贴壁的哺乳动物细胞，包括 Sp2、AE-1、CHO、BHK-21、HEK 和原代成纤维细胞。针对广泛的细胞培养应用，提供了多种组分的 Opti-MEM™ I 改良培养基。</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17</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多聚腺苷酸加尾试剂盒</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25reactions 用于对体外转录 RNA 进行聚腺苷酸化，以便提高转译起始效率。包含的试剂足够进行25次反应。</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将长度至少为150个核苷酸的多聚腺苷酸尾添加至 RNA 的3' 端提高体内转译效率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可调节反应来控制尾长</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经过优化，可用于使用 mMESSAGE mMACHINE™ 试剂盒合成的 RNA 转录物</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多聚腺苷酸加尾试剂盒使用大肠杆菌多聚腺苷酸聚合酶 I (E-PAP) 对体外转录 RNA 的3' 端进行聚腺苷酸化。聚腺苷酸化在稳定真核生物中的 RNA 方面起着重要作用，并可提高转译起始效率。在多聚腺苷酸加尾试剂盒中，E-PAP 反应已经过优化，150个腺嘌呤为 mRNA 加尾。额外腺嘌呤残基为 mRNA 赋予了稳定性，并可在显微注射和转染实验中提高体外合成的帽状 RNA 的转译效率</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18</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PageRuler 预染蛋白 Marker, 10-180 kDa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x 250 µL 预染蛋白分子量标准是 10 种蓝色、橙色和绿色染色蛋白（10 至 180 kDa）的混合物，可用作蛋白电泳 (SDS-PAGE) 和 Western 印迹中的分子量标准品。蛋白分子量标准品以即用型规格提供，用于直接上样至凝胶；使用前无需加热、还原或添加上样缓冲液。</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应用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在 SDS-聚丙烯酰胺凝胶电泳期间监测蛋白迁移</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Western 印迹后监测蛋白转印到膜上</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SDS-聚丙烯酰胺凝胶和 Western 印迹上的蛋白大小分析</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19</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Lipofectamine™ RNAiMAX 转染试剂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30盒</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1.5ml Lipofectamine™ RNAiMAX 转染试剂可对多种细胞类型提供极高转染效率，以用于 siRNA 介导的基因敲低实验。Lipofectamine™ RNAiMAX 是专有的 RNAi 特异性阳离子脂肪制剂，专为将 siRNA 和 miRNA 递送至所有细胞类型而设计。</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出色的转染效率，且所需 RNAi 浓度更低，从而实现更有效的基因敲低，且非特异性效应极低</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由于在转染试剂的 10 倍浓度范围内细胞毒性极轻微，从而轻松优化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对 miRNA 拮抗剂和模拟物的优越转染效率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多种细胞类型兼容，为您的所有基因沉默实验提供极通用的</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简单快速的方案，可获得一致且可重现的结果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在多种细胞中具有高敲低率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Lipofectamine™ RNAiMAX 转染试剂可转染多种细胞类型</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简单、高通量–即用型转染</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Lipofectamine™ RNAiMAX 转染试剂与 siRNA 混合，添加到您的细胞中，孵育，并测量基因敲低。简单性、速度加上较高的转染效率，使得 Lipofectamine™ RNAiMAX 转染试剂成为高通量 siRNA 转染的理想选择。对于这类应用所采用的机械化或自动化系统，可以很容易地为其建立转染条件。</w:t>
            </w:r>
          </w:p>
        </w:tc>
      </w:tr>
      <w:tr>
        <w:tblPrEx>
          <w:shd w:val="clear" w:color="auto" w:fill="auto"/>
          <w:tblCellMar>
            <w:top w:w="0" w:type="dxa"/>
            <w:left w:w="108" w:type="dxa"/>
            <w:bottom w:w="0" w:type="dxa"/>
            <w:right w:w="108" w:type="dxa"/>
          </w:tblCellMar>
        </w:tblPrEx>
        <w:trPr>
          <w:trHeight w:val="60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BODIPY™ 581/591 C11  </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20袋</w:t>
            </w:r>
          </w:p>
        </w:tc>
        <w:tc>
          <w:tcPr>
            <w:tcW w:w="36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1mg BODIPY™ 581/591 十一烷酸可用于检测细胞和细胞膜中的活性氧 (ROS)。 染料的多不饱和丁二烯基部分的氧化导致荧光发射峰从~590 nm移动到~510 nm。 在还原状态下，BODIPY™ 581/591 十一烷酸的激发和发射最大值为 581/591 nm； 氧化后，激发和发射最大值移至 488/510 nm。</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该产品我们建议用高质量无水 DMSO 溶解，母液浓度 1 至 10 mM。</w:t>
            </w:r>
          </w:p>
        </w:tc>
      </w:tr>
    </w:tbl>
    <w:p>
      <w:pPr>
        <w:pStyle w:val="7"/>
        <w:ind w:firstLine="480"/>
        <w:rPr>
          <w:rFonts w:ascii="仿宋" w:hAnsi="仿宋" w:cs="仿宋"/>
        </w:rPr>
      </w:pPr>
    </w:p>
    <w:p>
      <w:pPr>
        <w:ind w:firstLine="480"/>
        <w:rPr>
          <w:rFonts w:ascii="仿宋" w:hAnsi="仿宋" w:cs="仿宋"/>
        </w:rPr>
      </w:pPr>
    </w:p>
    <w:p>
      <w:pPr>
        <w:ind w:firstLine="482"/>
        <w:rPr>
          <w:rFonts w:ascii="仿宋" w:hAnsi="仿宋" w:cs="仿宋"/>
        </w:rPr>
      </w:pPr>
      <w:r>
        <w:rPr>
          <w:rFonts w:hint="eastAsia" w:ascii="仿宋" w:hAnsi="仿宋" w:cs="仿宋"/>
          <w:b/>
          <w:bCs/>
          <w:szCs w:val="21"/>
        </w:rPr>
        <w:br w:type="page"/>
      </w:r>
      <w:r>
        <w:rPr>
          <w:rFonts w:hint="eastAsia" w:ascii="仿宋" w:hAnsi="仿宋" w:cs="仿宋"/>
          <w:b/>
          <w:bCs/>
        </w:rPr>
        <w:t>B包  预算：70万元</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17"/>
        <w:gridCol w:w="1456"/>
        <w:gridCol w:w="924"/>
        <w:gridCol w:w="6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3530"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WAK水清消毒液 </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5瓶</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250ml  1、适合多种容器内的清洁，尤其是实验经常用到的金属和玻璃容器的制品；</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2、按1:200的比例直接放入容器的水里面稀释，对于容器的清洗，1-2瓶盖/容器即可；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3、独特的指示剂作用，按比例新配好的混合液会呈现出蓝色，说明我们的混合液是无菌的，当随着我们的混合液的颜色变为无色时；</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4、自然生物降解的产品。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DMSO  </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WAK 70ml ，GMP车间进行的全封闭生产，经过严格的无菌过滤，无热源，无内毒素，并且是唯一被确认为无支原体污染的产品。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Human IL-7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1mg   200-07-1MG将以2 x 500µg（200-07-500UG）的形式提供。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重组人IL-7是一种17.5 kDa的蛋白质，含有153个氨基酸残基。</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靶标信息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白细胞介素7（IL-7）是一种造血细胞因子，由骨髓和胸腺的基质细胞组成性产生。IL-7通过IL-7R发出信号，促进造血干细胞向淋巴前体细胞分化，从而产生T细胞、B细胞和自然杀伤细胞。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Human IL-10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1mg </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重组人IL-10是一种由161个氨基酸残基组成的18.6kDa蛋白质。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靶标信息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IL-10编码一种作为细胞因子的蛋白质，主要由单核细胞产生，一些由淋巴细胞产生。这种细胞因子对免疫调节和炎症有多种作用，包括下调巨噬细胞上Th1细胞因子、MHC II类Ags和共刺激分子的表达。它还能增强B细胞的存活、增殖和抗体的产生。此外，IL-10可以阻断NF-κB活性，并参与JAK-STAT信号通路的调节。对小鼠的敲除研究表明，这种细胞因子是肠道中必不可少的免疫调节因子。该基因的突变与HIV-1感染和类风湿性关节炎的易感性增加有关。与IL10相关的疾病包括移植物抗宿主病和人类免疫缺陷病毒1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Murine TNF-α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1mg </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重组鼠TNF-α是一种可溶性156个氨基酸的蛋白质（17.3kDa），其对应于全长跨膜蛋白的C末端细胞外结构域。</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靶标信息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TNF-α是一种多功能的促炎细胞因子，属于肿瘤坏死因子（TNF）超家族。这种细胞因子主要由巨噬细胞分泌，并与其受体TNFRSF1A/TNFR1和TNFRSF1B/TNFBR结合。TNF-α参与免疫细胞的调节、细胞增殖、分化、细胞凋亡、脂质代谢和凝血。TNF-α以两个、三个或五个非共价连接单元的多聚体形式存在，但在非还原条件下SDS-PAGE后显示出单个17kDa带。对小鼠的敲除研究也表明了TNF-α的神经保护功能，并已观察到当注射到荷瘤小鼠中时会导致肿瘤坏死。TNF-α的其他功能包括在对细菌、病毒、寄生虫和某些真菌的免疫反应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HUM TGF-B2 (INSECT), PEPROTECH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250 ug </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100-35-1MG将以4 x 250µg（100-35-250UG）的形式提供。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100-35-500UG将以2 x 250µg（100-35-250UG）的形式提供。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重组人TGF-β2是一种25.0kDa的蛋白质，由两条由单个二硫键连接的相同的112个氨基酸的多肽链组成。</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靶标信息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转化生长因子β介导胚胎发育过程中发生的许多细胞间相互作用。已在哺乳动物中鉴定出三种转化生长因子β。TGFβ1、TGFβ2和TGFβ3各自被合成为前体蛋白，其非常相似之处在于各自被切割以产生保持与分子的潜在部分相关的112个氨基酸的多肽。TGF-β多肽是多功能的；能够影响多种细胞类型中的细胞增殖、分化和其他功能。转化组织和非肿瘤组织都会释放转化生长因子；并且基本上所有哺乳动物细胞都具有特异性TGF受体。多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HUMAN FGF-20, PEPROTECH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250 ug  </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100-41-1MG将以2 x 500µg（100-41-500UG）的形式提供。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重组人FGF-20是一种23.2kDa的蛋白质，含有209个氨基酸残基。</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靶标信息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FGF-20是一种分泌的肝素结合生长因子，是FGF家族的一员。该家族的蛋白质通过促进细胞增殖和分化，在各种组织的产前发育、产后生长和再生过程中发挥着核心作用。FGF-20通过FGFR 2c和3c发出信号，并在肢体和大脑发育过程中表达。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73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琼脂糖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50瓶</w:t>
            </w:r>
          </w:p>
        </w:tc>
        <w:tc>
          <w:tcPr>
            <w:tcW w:w="3530" w:type="pct"/>
            <w:shd w:val="clear" w:color="auto" w:fill="auto"/>
            <w:noWrap/>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100g 琼脂糖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TRIzol™ Reagent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30瓶</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200 mL TRIzol 试剂是一种完整的即用型试剂，可从多种生物样本中分离高质量总 RNA 或同时分离 RNA、DNA 和蛋白。该苯酚和异硫氰酸胍单相溶液可在一小时内从来自人、动物、植物、酵母菌或细菌的细胞和组织样本中分离 RNA、DNA 和蛋白的单独组分。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TRIzol 试剂的主要特点包括：</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•可从同一样本中分离 RNA、DNA 和蛋白</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即使是难以处理的样本类型，依旧拥有出色的裂解能力</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已针对组织、细胞、血清、病毒和细菌，进行了配方和方案的优化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可靠地纯化不同样本量与来源的 RNA</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TRIzol 试剂在处理少量组织 (50–100 mg) 和细胞 (5 × 106) 以及大量组织 (≥1 g) 和细胞 (&gt;107) 时，均可表现良好性能，而所提供的方案可用于纯化人、动物、植物、或细菌来源的样本。TRIzol 试剂因高效抑制核糖核酸酶活性而维持了 RNA 的完整性，同时在样本均质化期间破坏了细胞并溶解细胞成分。TRIzol 试剂用法简单，因此可同时处理大量样本。整个过程不到 1 小时。通过 TRIzol 试剂分离的总 RNA 不含蛋白和 DNA 污染。</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其配方可进行多次分离多种分子靶标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TRIzol 试剂使您可连续沉淀单份样本中的 RNA、DNA 和蛋白。使用 TRIzol 试剂均质化样本后，加入氯仿，使匀浆分离成透明的上层水层（含 RNA）、中间相和红色下层有机层（含 DNA 和蛋白）。使用异丙醇从水层中沉淀出 RNA。使用乙醇从中间相/有机层中沉淀出 DNA。通过异丙醇沉淀从苯酚-乙醇上清液中沉淀出蛋白。洗涤沉淀出的 RNA、DNA 或蛋白以去除杂质，然后重悬以用于下游应用。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RIPA 裂解液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3瓶</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250 mL RIPA 裂解和提取缓冲液是一种用于培养的哺乳动物细胞的常用细胞裂解试剂的高质量、即用型且完全披露的配方。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RIPA 缓冲液的特点：即用型解决方案；无需自行装配和制备组成部分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与许多应用兼容，包括报告基因检测、蛋白检测、免疫检测和蛋白纯化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提取细胞质、细胞膜和细胞核蛋白</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披露的配方— 不含专有组成部分，用户可全面控制和了解可能存在的兼容性问题</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该 RIPA 缓冲液可从培养的哺乳动物细胞（包括铺板细胞和团状悬浮细胞）中高效裂解并提取蛋白。该常用试剂可提取细胞膜、细胞核和细胞质蛋白，并可与许多应用兼容，包括报告基因检测、BCA 蛋白检测、免疫检测和蛋白纯化。Halt 蛋白酶抑制剂混合物和 Halt 磷酸酶抑制剂混合物等抑制剂也可与该 RIPA 缓冲液配方兼容，可在使用前添加以防止蛋白水解并保持蛋白磷酸化。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RIPA 缓冲液的名称来源于为其开发这种缓冲液的原始应用：放射免疫沉淀测定。尽管目前在实验室中很少使用这种同位素检测方法，但该裂解缓冲液配方的首字母缩略词已被广泛使用。RIPA 细胞裂解试剂可从各种细胞类型中高效提取蛋白，因为其含有三种非离子型和离子型去污剂。该去污剂配方的一大劣势是，与其他裂解试剂相比，其与某些下游应用相对不兼容。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NUPAGE 10% BT GEL 1.0MM 10W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 gels (1 box) NuPAGE Bis-Tris 预制胶是用于各种分子量蛋白在变性条件下进行高效分离的预制聚丙烯酰胺凝胶。与传统 Tris- 甘氨酸预制胶不同，NuPAGE Bis-Tris 预制胶具有中性 pH 环境。使用 NuPAGE Bis-Tris 预制胶制备蛋白质以用于测序、质谱分析、以及任何其他蛋白质完整性至关重要的技术。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NuPAGE Bis-Tris 预制胶的特点包括：</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分子量分离范围—选择正确的凝胶和电泳缓冲液有助于实现蛋白质的最佳分离</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NuPAGE Bis-Tris 预制胶可在室温下储存≥ 12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NUPAGE 12% BT GEL 1.0MM 10W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 gels (1 box) NuPAGE Bis-Tris 预制胶是用于各种分子量蛋白在变性条件下进行高效分离的预制聚丙烯酰胺凝胶。与传统 Tris- 甘氨酸预制胶不同，NuPAGE Bis-Tris 预制胶具有中性 pH 环境。使用 NuPAGE Bis-Tris 预制胶制备蛋白质以用于测序、质谱分析、以及任何其他蛋白质完整性至关重要的技术。</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NuPAGE Bis-Tris 预制胶的特点包括：</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xml:space="preserve"> NuPAGE Bis-Tris 预制胶可在室温下储存≥ 12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NUPAGE 4-12% BT GEL 1.0MM10W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 gels (1 box) NuPAGE Bis-Tris 预制胶是用于各种分子量蛋白在变性条件下进行高效分离的预制聚丙烯酰胺凝胶。与传统 Tris- 甘氨酸预制胶不同，NuPAGE Bis-Tris 预制胶具有中性 pH 环境，可尽量减少蛋白质修饰。使用 NuPAGE Bis-Tris 预制胶制备蛋白质以用于测序、质谱分析、以及任何其他蛋白质完整性至关重要的技术。同时，也可使用 NuPAGE 预制胶以在日常使用中获得理想的结果。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NUPAGE 3-8% TA GEL 1.0MM12W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 gels (1 box) NuPAGE tris-乙酸蛋白预制胶可提供高效的大分子量蛋白质分离。它们是可模拟传统 laemmli 系统的变性或非变性条件的高性能聚丙烯酰胺凝胶。独特的缓冲液配方可在电泳过程中维持较低的 pH，与传统的 Tris-甘氨酸 SDS-PAGE 凝胶相比，其高分子量蛋白质的分离度更高。</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凝胶可储存≥八个月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PageRuler™ Plus 预染蛋白分子量标准，10 至 250 kDa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 x 250 µL 预染蛋白分子量标准是九种蓝色、橙色和绿色染色蛋白（10 至 250 kDa）的混合物，可用作蛋白电泳 (SDS-PAGE) 和 Western 印迹中的分子量标准品。蛋白分子量标准品以即用型规格提供，用于直接上样至凝胶；使用前无需加热、还原或添加上样缓冲液。</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应用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在 SDS-聚丙烯酰胺凝胶电泳期间监测蛋白迁移</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Western 印迹后监测蛋白转印到膜上</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SDS-聚丙烯酰胺凝胶和 Western 印迹上的蛋白大小分析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Spectra™ 多色高分子量蛋白分子量标准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 x 250 µL多色高范围蛋白质梯是八种蓝色、绿色和橙色染色蛋白质（40至300kDa）的混合物，用作凝胶电泳和蛋白质印迹中高MW蛋白质的尺寸标准。蛋白质梯是以现成的形式提供的，用于直接装载到凝胶上；使用前无需加热、减少或添加样品缓冲液。</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应用程序</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•SDS-PAGE过程中蛋白质迁移的监测</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•验证西部转移效率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•SDS聚丙烯酰胺凝胶和蛋白质印迹上蛋白质的近似大小</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•从未染色的制备凝胶中定位待切除的感兴趣蛋白质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17</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PageRuler™ 未染色蛋白分子量标准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 x 250 µL未染色蛋白质阶梯是14种重组、高度纯化、未染色蛋白质（10至200kDa）的混合物，用作蛋白质电泳（SDS-PAGE）和蛋白质印迹中的尺寸标准。蛋白质梯是以现成的形式提供的，用于直接装载到凝胶上；使用前无需加热、减少或添加样品缓冲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18</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96孔板，半裙边，标准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3530" w:type="pct"/>
            <w:shd w:val="clear" w:color="auto" w:fill="auto"/>
            <w:vAlign w:val="center"/>
          </w:tcPr>
          <w:p>
            <w:pPr>
              <w:widowControl/>
              <w:ind w:firstLine="0" w:firstLineChars="0"/>
              <w:jc w:val="both"/>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 xml:space="preserve">25 plates </w:t>
            </w:r>
            <w:r>
              <w:rPr>
                <w:rFonts w:ascii="仿宋" w:hAnsi="仿宋" w:cs="仿宋"/>
                <w:color w:val="000000"/>
                <w:kern w:val="0"/>
                <w:sz w:val="22"/>
                <w:szCs w:val="22"/>
                <w:lang w:bidi="ar"/>
              </w:rPr>
              <w:t xml:space="preserve"> </w:t>
            </w:r>
            <w:r>
              <w:rPr>
                <w:rFonts w:hint="eastAsia" w:ascii="仿宋" w:hAnsi="仿宋" w:cs="仿宋"/>
                <w:color w:val="000000"/>
                <w:kern w:val="0"/>
                <w:sz w:val="22"/>
                <w:szCs w:val="22"/>
                <w:lang w:bidi="ar"/>
              </w:rPr>
              <w:t>96 孔（带黑色印字）半裙边平面 PCR 板与大多数热循环仪和 ABI 平台（包括测序仪）兼容，无需适配器。通过提高荧光检测中的灵敏度并降低差异性，针对 qPCR 对白色板进行了优化。PCR 塑料制品在设计、生产和检测方面可确保 PCR 性能。与封板膜或热封膜配合使用时，板的上限孔容量为 0.3 mL。</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96 孔半裙边平面 PCR 板的特点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直接兼容所有主要的热循环仪，包括 ABI 平台和测序仪，无需适配器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通过提高荧光检测中的灵敏度并降低差异性，针对 qPCR 对带黑色印字的白色板进行了优化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平板平台有助于密封和处理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以 SuperPlate 形式提供，具有 4 倍刚性；每个孔周围凸起的边缘设计可固定密封和防护装置以防止蒸发</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均一薄孔壁可实现较高且一致的热传递</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黑色印字版本的特点为黑色字母数字印字，便于孔识别截角：A12应用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PCRqPCR/实时荧光定量 PCR</w:t>
            </w:r>
          </w:p>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测序</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平板平台设计可确保易于操作，并且平板具有凸起的边缘以防止蒸发。96 孔半裙边平面 PCR 板在 A12 位具有截角，并具有薄的孔壁进行连续热传递。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19</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黏性 PCR 封板膜  </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50盒</w:t>
            </w:r>
          </w:p>
        </w:tc>
        <w:tc>
          <w:tcPr>
            <w:tcW w:w="3530" w:type="pct"/>
            <w:shd w:val="clear" w:color="auto" w:fill="auto"/>
            <w:noWrap/>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100 sheets 黏性 PCR 封板膜为 PCR 和 qPCR 应用提供了一种有效和便捷的密封方法。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50ml离心管，带架</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20包/箱50 mL离心管带有黑色印制刻度和大块白色标记区。</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可选管盖：先进的CentriStar盖或原配密封盖。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经过95 kPA (14 psi) 压力测试——仅限密封盖。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简化工作流程：彩色条带便于目视识别样本；符合OSHA和GHS标准的危险品象形图。无菌。</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不含RNase/DNase。</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无热原。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21</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15ml离心管</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10包/箱 15 mL离心管带有黑色印制刻度和大块白色标记区。</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可选管盖：先进的康宁CentriStar™ 盖或原配密封盖。</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无菌。不含RNase/DNase。</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无热原。</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经过95 kPA (14 psi) 压力测试——仅限密封盖。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22</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20ml可立外旋冻存管</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10包/箱 由聚丙烯制成，可耐受低至-196°C的超低温</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带有黑色刻度和大块标记区</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冻存管配有硅胶垫圈，确保密封。</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2 mL自立式冻存管盖有5种颜色可选</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冻存管可配不同颜色的色标。</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自立式冻存管底部采用特殊设计，可以单手操作，将其固定到冷冻架与冷冻盘 (货号：431131) 上。</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每箱均有免费的泡沫管架</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不含RNase/DNase</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无菌、无热原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23</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Transwell嵌套，含24孔板 (PC膜，6.5mm，8.0um)</w:t>
            </w:r>
          </w:p>
        </w:tc>
        <w:tc>
          <w:tcPr>
            <w:tcW w:w="469"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4块/箱 每块24孔板中装有12个小室，每箱4块</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经过处理，可达到最佳的细胞粘附性能</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必须对膜进行染色以便观察细胞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24</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25cm2  细胞培养瓶 </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10个/包 20包/箱 生产环境：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  生产过程全程在C级车间生产，通过自动化设备按照cGMP标准生产完成，确保无菌，无热源，无动物源成分。工艺处理：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  超真空等离子表面改性工艺(TC处理)，增强细胞的贴壁性能，也适于低粘附特性的细胞生长。</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产品特点：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  细胞瓶底面呈圆弧形设计，减少吸管吹打细胞时的接触死角。</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标准产品配备0.2μm的除菌透气盖和密封盖，可用于不同培养环境。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瓶盖透气膜疏水化设计，与液体接触后不影响透气膜的密封性和透气效果。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细胞瓶底部支撑留有透气孔，有利于培养箱内部气体快速进入细胞瓶周围，缩短细胞瓶从常温环境移入的回温时间。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8"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75cm2  细胞培养瓶 </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5个/包 20包/箱  生产环境：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生产过程全程在C级车间生产，通过自动化设备按照cGMP标准生产完成，确保无菌，无热源，无动物源成分。工艺处理：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  超真空等离子表面改性工艺(TC处理)，增强细胞的贴壁性能，也适于低粘附特性的细胞生长。</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产品特点：</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细胞瓶底面呈圆弧形设计，减少吸管吹打细胞时的接触死角。</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标准产品配备0.2μm的除菌透气盖和密封盖，可用于不同培养环境。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瓶盖透气膜疏水化设计，与液体接触后不影响透气膜的密封性和透气效果。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细胞瓶底部支撑留有透气孔，有利于培养箱内部气体快速进入细胞瓶周围，缩短细胞瓶从常温环境移入的回温时间。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26</w:t>
            </w:r>
          </w:p>
        </w:tc>
        <w:tc>
          <w:tcPr>
            <w:tcW w:w="73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175cm2  细胞培养瓶  </w:t>
            </w: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5个/包 8包/箱 生产环境：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  生产过程全程在C级车间生产，通过自动化设备按照cGMP标准生产完成，确保无菌，无热源，无动物源成分。工艺处理：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超真空等离子表面改性工艺(TC处理)，增强细胞的贴壁性能，也适于低粘附特性的细胞生长。</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细胞瓶底面呈圆弧形设计，减少吸管吹打细胞时的接触死角。</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标准产品配备0.2μm的除菌透气盖和密封盖，可用于不同培养环境。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瓶盖透气膜疏水化设计，与液体接触后不影响透气膜的密封性和透气效果。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细胞瓶底部支撑留有透气孔，有利于培养箱内部气体快速进入细胞瓶周围，缩短细胞瓶从常温环境移入的回温时间。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00" w:hRule="atLeast"/>
        </w:trPr>
        <w:tc>
          <w:tcPr>
            <w:tcW w:w="262"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27</w:t>
            </w:r>
          </w:p>
        </w:tc>
        <w:tc>
          <w:tcPr>
            <w:tcW w:w="739" w:type="pct"/>
            <w:shd w:val="clear" w:color="auto" w:fill="auto"/>
            <w:vAlign w:val="center"/>
          </w:tcPr>
          <w:p>
            <w:pPr>
              <w:widowControl/>
              <w:ind w:firstLine="0" w:firstLineChars="0"/>
              <w:jc w:val="center"/>
              <w:textAlignment w:val="center"/>
              <w:rPr>
                <w:rFonts w:ascii="仿宋" w:hAnsi="仿宋" w:cs="仿宋"/>
                <w:color w:val="000000"/>
                <w:kern w:val="0"/>
                <w:sz w:val="22"/>
                <w:szCs w:val="22"/>
                <w:lang w:bidi="ar"/>
              </w:rPr>
            </w:pPr>
            <w:r>
              <w:rPr>
                <w:rFonts w:hint="eastAsia" w:ascii="仿宋" w:hAnsi="仿宋" w:cs="仿宋"/>
                <w:color w:val="000000"/>
                <w:kern w:val="0"/>
                <w:sz w:val="22"/>
                <w:szCs w:val="22"/>
                <w:lang w:bidi="ar"/>
              </w:rPr>
              <w:t xml:space="preserve">225cm2  细胞培养瓶  </w:t>
            </w:r>
          </w:p>
          <w:p>
            <w:pPr>
              <w:pStyle w:val="7"/>
              <w:ind w:firstLine="480"/>
              <w:rPr>
                <w:lang w:bidi="ar"/>
              </w:rPr>
            </w:pPr>
          </w:p>
          <w:p>
            <w:pPr>
              <w:ind w:firstLine="480"/>
              <w:rPr>
                <w:lang w:bidi="ar"/>
              </w:rPr>
            </w:pPr>
          </w:p>
        </w:tc>
        <w:tc>
          <w:tcPr>
            <w:tcW w:w="469"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5箱</w:t>
            </w:r>
          </w:p>
        </w:tc>
        <w:tc>
          <w:tcPr>
            <w:tcW w:w="3530" w:type="pct"/>
            <w:shd w:val="clear" w:color="auto" w:fill="auto"/>
            <w:vAlign w:val="center"/>
          </w:tcPr>
          <w:p>
            <w:pPr>
              <w:widowControl/>
              <w:ind w:firstLine="0" w:firstLineChars="0"/>
              <w:jc w:val="both"/>
              <w:textAlignment w:val="center"/>
              <w:rPr>
                <w:rFonts w:ascii="仿宋" w:hAnsi="仿宋" w:cs="仿宋"/>
                <w:color w:val="000000"/>
                <w:sz w:val="22"/>
                <w:szCs w:val="22"/>
              </w:rPr>
            </w:pPr>
            <w:r>
              <w:rPr>
                <w:rFonts w:hint="eastAsia" w:ascii="仿宋" w:hAnsi="仿宋" w:cs="仿宋"/>
                <w:color w:val="000000"/>
                <w:kern w:val="0"/>
                <w:sz w:val="22"/>
                <w:szCs w:val="22"/>
                <w:lang w:bidi="ar"/>
              </w:rPr>
              <w:t>5个/包 5包/箱 生产环境：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  生产过程全程在C级车间生产，通过自动化设备按照cGMP标准生产完成，确保无菌，无热源，无动物源成分。工艺处理：</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超真空等离子表面改性工艺(TC处理)，增强细胞的贴壁性能，也适于低粘附特性的细胞生长。</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细胞瓶底面呈圆弧形设计，减少吸管吹打细胞时的接触死角。</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标准产品配备0.2μm的除菌透气盖和密封盖，可用于不同培养环境。</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瓶盖透气膜疏水化设计，与液体接触后不影响透气膜的密封性和透气效果。</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细胞瓶底部支撑留有透气孔，有利于培养箱内部气体快速进入细胞瓶周围，缩短细胞瓶从常温环境移入的回温时间。</w:t>
            </w:r>
          </w:p>
        </w:tc>
      </w:tr>
    </w:tbl>
    <w:p>
      <w:pPr>
        <w:ind w:firstLine="480"/>
        <w:rPr>
          <w:rFonts w:ascii="仿宋" w:hAnsi="仿宋" w:cs="仿宋"/>
        </w:rPr>
      </w:pPr>
      <w:r>
        <w:rPr>
          <w:rFonts w:hint="eastAsia" w:ascii="仿宋" w:hAnsi="仿宋" w:cs="仿宋"/>
        </w:rPr>
        <w:br w:type="page"/>
      </w:r>
    </w:p>
    <w:p>
      <w:pPr>
        <w:ind w:firstLine="482"/>
        <w:rPr>
          <w:rFonts w:ascii="仿宋" w:hAnsi="仿宋" w:cs="仿宋"/>
          <w:b/>
          <w:bCs/>
        </w:rPr>
      </w:pPr>
      <w:r>
        <w:rPr>
          <w:rFonts w:hint="eastAsia" w:ascii="仿宋" w:hAnsi="仿宋" w:cs="仿宋"/>
          <w:b/>
          <w:bCs/>
        </w:rPr>
        <w:t>C包  预算：138万元</w:t>
      </w:r>
    </w:p>
    <w:tbl>
      <w:tblPr>
        <w:tblStyle w:val="23"/>
        <w:tblW w:w="5000" w:type="pct"/>
        <w:tblInd w:w="0" w:type="dxa"/>
        <w:shd w:val="clear" w:color="auto" w:fill="auto"/>
        <w:tblLayout w:type="fixed"/>
        <w:tblCellMar>
          <w:top w:w="0" w:type="dxa"/>
          <w:left w:w="108" w:type="dxa"/>
          <w:bottom w:w="0" w:type="dxa"/>
          <w:right w:w="108" w:type="dxa"/>
        </w:tblCellMar>
      </w:tblPr>
      <w:tblGrid>
        <w:gridCol w:w="699"/>
        <w:gridCol w:w="1597"/>
        <w:gridCol w:w="1261"/>
        <w:gridCol w:w="6297"/>
      </w:tblGrid>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氯化钠</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500g,GR级别高纯分析；血液常规检验；肝功能试验；制备细菌血清学培养基；致冷混合剂</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羧基甲氧基胺半盐酸盐</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500g，98%含量。分析试剂；化学合成；转氨基酶的抑制剂；能提高内源性γ-氨基丁酸的水平；用作制备酮类化合物的半抗原。</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生理盐水</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500ml，可以用于实验动物作消炎、杀菌、抗病毒的药水。</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氯化钙</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500g,测定全血葡萄糖、血清无机磷、血清碱性磷酸酶的活力。</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May-Grunwald染色液</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500ml,用于细胞染色的特效染色剂</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脂多糖</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500mg，来源于大肠杆菌 055:B5</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2-(5-溴-2-吡啶偶氮)-5-二甲氨基苯酚</w:t>
            </w:r>
          </w:p>
        </w:tc>
        <w:tc>
          <w:tcPr>
            <w:tcW w:w="64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1g,含量≥93%。分析试剂，用于镉的比色测定。</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Infliximab</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10mg，是一种人-小鼠嵌合IgG单克隆抗体，具有抑制肿瘤坏死因子α（TNF-α）的作用，可用于自身免疫性疾病（如炎症性肠病IBD）的相关研究</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Y-27632</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100mg，一种选择性的ROCK1(p160ROCK)抑制剂，Ki为140 nM，比对其他激酶包括PKC，cAMP依赖性蛋白激酶</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CHIR-99021</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100mg，一种GSK-3α和GSK-3β抑制剂， IC50分别为10 nM and 6.7 nM</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9-ing-41</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100mg，是一种ATP竞争性和选择性的糖原合酶激酶-3β (GSK-3β) 抑制剂，IC50 为 0.71 μM</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Mitazalimab</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1mg，FcγR 依赖性 CD40 激动剂，具有肿瘤导向活性</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Fetal Bovine Serum（Prime）</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500ml，适用于癌细胞等的培养</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胎牛血清（澳洲）</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500ml，适用于干细胞和神经元细胞的培养</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DSPE-PEG2000-NH2</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1g，产品纯度大于95%，我们还可以提供PEG分子量是550 750 1000 3400 5000等不同分子量的产品 DSPE-PEG-Amine</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DSPE-PEG2000-COOH</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1g，该类产品可以链接小分子、多肽、糖类及抗体等等.</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17</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DSPE-PEG2000-cRGD</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100mg，cRGD环肽是一种主动靶向性多肽，形成的脂质体可以直接作用于肿瘤靶点，形成主动靶向性效果</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18</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DSPE-PEG2000-MAL</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1g，产品纯度大于95%+ 能到98%，确保MAL活性反应基团连接率大于95%</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19</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DSPE-PEG2000-FA</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1g，PEG生物试剂，产品纯度≥98%</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DSPC</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1g，二硬脂酰磷脂酰胆碱,816-94-4,LP-R4-076,1,2-distearoyl-sn-glycero-3-phosphocholine</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21</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DSPE</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1g，二硬脂酰基磷脂酰乙醇胺,1,2-distearoyl-sn-glycero-3-phosphoethanolamine</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22</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LysoSensor™ Green DND-189 - 特殊包装</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x 50 µL，可用于测量溶酶体等酸性细胞器的 pH 值。LysoSensor 染料在酸性环境下的荧光会增强。LysoSensor™ Green DND-189 的 pKa 为 ∼5.2。</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23</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Pierce™ 磁性 RNA-蛋白 Pull-Down 试剂盒</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reactions，使用末端标记 RNA 作为诱饵来富集蛋白-RNA 相互作用。</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24</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TRAF2 Rabbit pAb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200ul，兔抗，种属反应人，大鼠，小鼠</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Human VEGF-A/VEGF165 Protein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100ug，用于细胞培养，WB,Elisa.</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26</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Mouse IFN-gamma Protein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500ug,内毒素</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&lt; 0.1 EU/μg of the protein by LAL method.</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27</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Recombinant Mouse TGF-beta 1 Protein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100ug，纯度</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&gt; 98% by SDS-PAGE来源于小鼠</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28</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2X Universal SYBR Green Fast qPCR Mix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5ml，采用SYBR Green I 荧光结合双链DNA具有高灵敏度和信噪比；</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兼容多种荧光定量PCR仪器；</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采用热启动Taq DNA 聚合酶提高特异性</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29</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Gloria Nova HS 2X Master Mix </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5ml，独特的酶结构和热启动性提高了保真度和延伸速度；适用于高GC及长片段的扩增；</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Mannose Receptor/CD206 Rabbit</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200ul，兔抗，种属反应大鼠，小鼠</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31</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Abscript2 cDNA First Strand Kit试剂盒</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500RXN，逆转录酶是一种重组 M-MuLV 逆转录酶，拥有较低的 RNase H 活性同时兼具增强的热稳定性。</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32</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T25细胞培养瓶</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30箱</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20个/包 ， 25包/箱。用于细胞培养，观察</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33</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Transwell六孔板</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8箱</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4块/箱，用于细胞迁移实验</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34</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InvitrogenLipofectamine™ 2000 转染试剂</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1.5ml，用于基于 siRNA 和 shRNA 的基因敲除实验以及基因表达研究。</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35</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Transwell嵌套，含24孔板（PC膜，6.5mm*8）</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12个/盒  用于肿瘤细胞迁移侵袭实验</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36</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222222"/>
                <w:sz w:val="22"/>
                <w:szCs w:val="22"/>
              </w:rPr>
            </w:pPr>
            <w:r>
              <w:rPr>
                <w:rFonts w:hint="eastAsia" w:ascii="仿宋" w:hAnsi="仿宋" w:cs="仿宋"/>
                <w:color w:val="222222"/>
                <w:kern w:val="0"/>
                <w:sz w:val="22"/>
                <w:szCs w:val="22"/>
                <w:lang w:bidi="ar"/>
              </w:rPr>
              <w:t>胎牛血清</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100ml，用于普通细胞培养，组织器官培养。</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37</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DMEM 高糖 不含氨基酸</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50瓶</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  用于细胞实验中添加营养物质</w:t>
            </w:r>
          </w:p>
        </w:tc>
      </w:tr>
      <w:tr>
        <w:tblPrEx>
          <w:shd w:val="clear" w:color="auto" w:fill="auto"/>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38</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Endothelial Cell Growth Supplement (ECGS)</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10*1ml 内皮细胞生长补充剂（ECGS）是一种培养基补充剂，用于体外培养人原代微血管内皮细胞</w:t>
            </w:r>
          </w:p>
        </w:tc>
      </w:tr>
      <w:tr>
        <w:tblPrEx>
          <w:tblCellMar>
            <w:top w:w="0" w:type="dxa"/>
            <w:left w:w="108" w:type="dxa"/>
            <w:bottom w:w="0" w:type="dxa"/>
            <w:right w:w="108" w:type="dxa"/>
          </w:tblCellMar>
        </w:tblPrEx>
        <w:trPr>
          <w:trHeight w:val="600" w:hRule="atLeast"/>
        </w:trPr>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39</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Endothelial Cell Growth Supplement Plus Heparin (ECGS/H)</w:t>
            </w:r>
          </w:p>
        </w:tc>
        <w:tc>
          <w:tcPr>
            <w:tcW w:w="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40盒</w:t>
            </w:r>
          </w:p>
        </w:tc>
        <w:tc>
          <w:tcPr>
            <w:tcW w:w="3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10*1ml  ECGS/H是一种培养基补充剂，旨在体外优化人类原代微血管内皮细胞的生长。它是一种无菌浓缩（100X）溶液，含有培养正常人类微血管内皮细胞所需的生长因子、激素和蛋白质。</w:t>
            </w:r>
          </w:p>
        </w:tc>
      </w:tr>
    </w:tbl>
    <w:p>
      <w:pPr>
        <w:ind w:firstLine="482"/>
        <w:rPr>
          <w:rFonts w:ascii="仿宋" w:hAnsi="仿宋" w:cs="仿宋"/>
          <w:b/>
          <w:bCs/>
        </w:rPr>
      </w:pPr>
      <w:r>
        <w:rPr>
          <w:rFonts w:hint="eastAsia" w:ascii="仿宋" w:hAnsi="仿宋" w:cs="仿宋"/>
          <w:b/>
          <w:bCs/>
        </w:rPr>
        <w:br w:type="page"/>
      </w:r>
    </w:p>
    <w:p>
      <w:pPr>
        <w:ind w:firstLine="482"/>
        <w:rPr>
          <w:rFonts w:ascii="仿宋" w:hAnsi="仿宋" w:cs="仿宋"/>
          <w:b/>
          <w:bCs/>
        </w:rPr>
      </w:pPr>
      <w:r>
        <w:rPr>
          <w:rFonts w:hint="eastAsia" w:ascii="仿宋" w:hAnsi="仿宋" w:cs="仿宋"/>
          <w:b/>
          <w:bCs/>
        </w:rPr>
        <w:t>D包  预算：48万元</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6"/>
        <w:gridCol w:w="2411"/>
        <w:gridCol w:w="980"/>
        <w:gridCol w:w="5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1223"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497"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2895" w:type="pct"/>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Human HS-IL-6(High sensitive Interleukin 6) Accquant®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用于人 样本类型</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 xml:space="preserve">血清，血浆，细胞培养上清液，细胞裂解液或组织裂解液，其它生物液体样品 </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特异性和 IL-6 结合，与其它类似物无明显交叉反应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Human PGE2(Prostaglandin E2)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96T    检测方法 </w:t>
            </w:r>
            <w:r>
              <w:rPr>
                <w:rFonts w:hint="eastAsia" w:ascii="仿宋" w:hAnsi="仿宋" w:cs="仿宋"/>
                <w:b/>
                <w:bCs/>
                <w:color w:val="000000"/>
                <w:kern w:val="0"/>
                <w:sz w:val="22"/>
                <w:szCs w:val="22"/>
                <w:lang w:bidi="ar"/>
              </w:rPr>
              <w:br w:type="textWrapping"/>
            </w:r>
            <w:r>
              <w:rPr>
                <w:rFonts w:hint="eastAsia" w:ascii="仿宋" w:hAnsi="仿宋" w:cs="仿宋"/>
                <w:b/>
                <w:bCs/>
                <w:color w:val="000000"/>
                <w:kern w:val="0"/>
                <w:sz w:val="22"/>
                <w:szCs w:val="22"/>
                <w:lang w:bidi="ar"/>
              </w:rPr>
              <w:t>Competitive ELISA, Coated with Antigen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 Human SCUBE2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用酶标仪在 450 nm 波长测 OD 值。通过绘制标准曲线计算样品中SCUBE2的浓度。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SHH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用于小鼠 检测血清中SHH含量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Human PD1/PDL1 Inhibitor Screening Assay Kit</w:t>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1盒</w:t>
            </w:r>
          </w:p>
        </w:tc>
        <w:tc>
          <w:tcPr>
            <w:tcW w:w="2895" w:type="pct"/>
            <w:shd w:val="clear" w:color="auto" w:fill="auto"/>
            <w:noWrap/>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96T人样本　竞争法检测人样本中的PD1/PDL1 蛋白含量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fldChar w:fldCharType="begin"/>
            </w:r>
            <w:r>
              <w:instrText xml:space="preserve"> HYPERLINK "https://www.fn-test.cn/product/eh3723/" </w:instrText>
            </w:r>
            <w:r>
              <w:fldChar w:fldCharType="separate"/>
            </w:r>
            <w:r>
              <w:rPr>
                <w:rStyle w:val="27"/>
                <w:rFonts w:hint="eastAsia" w:ascii="仿宋" w:hAnsi="仿宋" w:cs="仿宋"/>
                <w:color w:val="auto"/>
                <w:sz w:val="22"/>
                <w:szCs w:val="22"/>
                <w:u w:val="none"/>
              </w:rPr>
              <w:t>Human RNASET2(Ribonuclease T2) ELISA Kit</w:t>
            </w:r>
            <w:r>
              <w:rPr>
                <w:rStyle w:val="27"/>
                <w:rFonts w:hint="eastAsia" w:ascii="仿宋" w:hAnsi="仿宋" w:cs="仿宋"/>
                <w:color w:val="auto"/>
                <w:sz w:val="22"/>
                <w:szCs w:val="22"/>
                <w:u w:val="none"/>
              </w:rPr>
              <w:fldChar w:fldCharType="end"/>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2盒</w:t>
            </w:r>
          </w:p>
        </w:tc>
        <w:tc>
          <w:tcPr>
            <w:tcW w:w="2895" w:type="pct"/>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96T  人样本　夹心法检测人样本中的　RNASET2(Ribonuclease T2)蛋白含量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Human IL-3(Interleukin 3) ELISA Kit</w:t>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3盒</w:t>
            </w:r>
          </w:p>
        </w:tc>
        <w:tc>
          <w:tcPr>
            <w:tcW w:w="2895" w:type="pct"/>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96T   人样本　检测白介素－３炎症因子的蛋白含量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Human APOH(Beta-2-glycoprotein 1)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用于人样本　采用双抗体夹心ELISA法检测APOH(Beta-2-glycoprotein 1) 蛋白含量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GDNF(Glial Cell Line Derived Neurotrophic Factor)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小鼠样本　试剂盒在检测范围： 4.688-300pg/ml　　检测样本中的GDNF(Glial Cell Line Derived Neurotrophic Factor)含量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IL-1b(Interleukin 1 Beta)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小鼠样本　　试剂盒通过绘制标准曲线计算样品中IL-1b(Interleukin 1 Beta) 的浓度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MCP-1(Monocyte Chemotactic Protein 1)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96T小鼠样本　用于体外定量检测血清，血浆，细胞培养上清或其它生物样品中的 MCP-1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MMP-9(Matrix Metalloproteinase 9) ELISA Kit</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   小鼠样本　试剂盒通过竞争法　来检测样本中血清，血浆，细胞等样本中的MMP-9(Matrix Metalloproteinase 9)的浓度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Human PGE2(Prostaglandin E2) ELISA Kit</w:t>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3盒</w:t>
            </w:r>
          </w:p>
        </w:tc>
        <w:tc>
          <w:tcPr>
            <w:tcW w:w="2895" w:type="pct"/>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96T　　用于人样本　本试剂盒采用竞争ELISA检测法，实验时长2小时。试剂盒中提供的微孔板已预先包被PGE2。样品或标准品中的待测PGE2会与预先包被于酶标板的PGE2，竞争结合固定量的生物素标记的抗PGE2的抗体，来检测PGE2(Prostaglandin E2)的浓度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fldChar w:fldCharType="begin"/>
            </w:r>
            <w:r>
              <w:instrText xml:space="preserve"> HYPERLINK "https://www.fn-test.cn/product/p9740/" </w:instrText>
            </w:r>
            <w:r>
              <w:fldChar w:fldCharType="separate"/>
            </w:r>
            <w:r>
              <w:rPr>
                <w:rStyle w:val="27"/>
                <w:rFonts w:hint="eastAsia" w:ascii="仿宋" w:hAnsi="仿宋" w:cs="仿宋"/>
                <w:color w:val="auto"/>
                <w:sz w:val="22"/>
                <w:szCs w:val="22"/>
                <w:u w:val="none"/>
              </w:rPr>
              <w:t>Recombinant Human CXCL13</w:t>
            </w:r>
            <w:r>
              <w:rPr>
                <w:rStyle w:val="27"/>
                <w:rFonts w:hint="eastAsia" w:ascii="仿宋" w:hAnsi="仿宋" w:cs="仿宋"/>
                <w:color w:val="auto"/>
                <w:sz w:val="22"/>
                <w:szCs w:val="22"/>
                <w:u w:val="none"/>
              </w:rPr>
              <w:fldChar w:fldCharType="end"/>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2支</w:t>
            </w:r>
          </w:p>
        </w:tc>
        <w:tc>
          <w:tcPr>
            <w:tcW w:w="2895" w:type="pct"/>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50UG　人重组蛋白　应用Western Blot, ELISA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Human IL-10</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50UG　人重组蛋白　Centrifuge the vial prior to opening, reconstitute in sterile distilled water or buffer of interest to concentration of 0.1-1mg/ml by gently pipetting 2-3 times, don't vortex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Human CHRNA1</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200UG　人重组蛋白　　　此产品为人的重组蛋白在无菌蒸馏水或者ｂｕｆｆ溶解后配成溶液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17</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Human CXCR4</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200UG　　人重组蛋白　　应用于Western Blot, ELISA　　细胞培养等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18</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Mouse NV-VP1</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1MG　人重组蛋白　The lyophilized protein is stable at -20°C for up to 1 year, the protein solution can be stored at 2-8°C for up to 1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19</w:t>
            </w:r>
          </w:p>
        </w:tc>
        <w:tc>
          <w:tcPr>
            <w:tcW w:w="1223" w:type="pct"/>
            <w:shd w:val="clear" w:color="auto" w:fill="auto"/>
            <w:noWrap/>
            <w:vAlign w:val="center"/>
          </w:tcPr>
          <w:p>
            <w:pPr>
              <w:widowControl/>
              <w:ind w:firstLine="0" w:firstLineChars="0"/>
              <w:jc w:val="center"/>
              <w:textAlignment w:val="center"/>
              <w:rPr>
                <w:rFonts w:ascii="仿宋" w:hAnsi="仿宋" w:cs="仿宋"/>
                <w:sz w:val="22"/>
                <w:szCs w:val="22"/>
              </w:rPr>
            </w:pPr>
            <w:r>
              <w:fldChar w:fldCharType="begin"/>
            </w:r>
            <w:r>
              <w:instrText xml:space="preserve"> HYPERLINK "https://www.fn-test.cn/product/p9727/" </w:instrText>
            </w:r>
            <w:r>
              <w:fldChar w:fldCharType="separate"/>
            </w:r>
            <w:r>
              <w:rPr>
                <w:rStyle w:val="27"/>
                <w:rFonts w:hint="eastAsia" w:ascii="仿宋" w:hAnsi="仿宋" w:cs="仿宋"/>
                <w:color w:val="auto"/>
                <w:sz w:val="22"/>
                <w:szCs w:val="22"/>
                <w:u w:val="none"/>
              </w:rPr>
              <w:t>Recombinant Human TYMP</w:t>
            </w:r>
            <w:r>
              <w:rPr>
                <w:rStyle w:val="27"/>
                <w:rFonts w:hint="eastAsia" w:ascii="仿宋" w:hAnsi="仿宋" w:cs="仿宋"/>
                <w:color w:val="auto"/>
                <w:sz w:val="22"/>
                <w:szCs w:val="22"/>
                <w:u w:val="none"/>
              </w:rPr>
              <w:fldChar w:fldCharType="end"/>
            </w:r>
          </w:p>
        </w:tc>
        <w:tc>
          <w:tcPr>
            <w:tcW w:w="497" w:type="pct"/>
            <w:shd w:val="clear" w:color="auto" w:fill="auto"/>
            <w:noWrap/>
            <w:vAlign w:val="center"/>
          </w:tcPr>
          <w:p>
            <w:pPr>
              <w:widowControl/>
              <w:ind w:firstLine="0" w:firstLineChars="0"/>
              <w:jc w:val="center"/>
              <w:textAlignment w:val="center"/>
              <w:rPr>
                <w:rFonts w:ascii="仿宋" w:hAnsi="仿宋" w:cs="仿宋"/>
                <w:sz w:val="22"/>
                <w:szCs w:val="22"/>
              </w:rPr>
            </w:pPr>
            <w:r>
              <w:rPr>
                <w:rFonts w:hint="eastAsia" w:ascii="仿宋" w:hAnsi="仿宋" w:cs="仿宋"/>
                <w:kern w:val="0"/>
                <w:sz w:val="22"/>
                <w:szCs w:val="22"/>
                <w:lang w:bidi="ar"/>
              </w:rPr>
              <w:t>2支</w:t>
            </w:r>
          </w:p>
        </w:tc>
        <w:tc>
          <w:tcPr>
            <w:tcW w:w="2895" w:type="pct"/>
            <w:shd w:val="clear" w:color="auto" w:fill="auto"/>
            <w:vAlign w:val="center"/>
          </w:tcPr>
          <w:p>
            <w:pPr>
              <w:widowControl/>
              <w:ind w:firstLine="0" w:firstLineChars="0"/>
              <w:textAlignment w:val="center"/>
              <w:rPr>
                <w:rFonts w:ascii="仿宋" w:hAnsi="仿宋" w:cs="仿宋"/>
                <w:sz w:val="22"/>
                <w:szCs w:val="22"/>
              </w:rPr>
            </w:pPr>
            <w:r>
              <w:rPr>
                <w:rFonts w:hint="eastAsia" w:ascii="仿宋" w:hAnsi="仿宋" w:cs="仿宋"/>
                <w:kern w:val="0"/>
                <w:sz w:val="22"/>
                <w:szCs w:val="22"/>
                <w:lang w:bidi="ar"/>
              </w:rPr>
              <w:t>1M,G　人重组蛋白　　Greater than 95% as determined by SDS-PAGE　　　应用于　细胞培养　Western Blot, ELISA　　流式等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Human IGFBP1</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200UG　　人重组蛋白　　溶解于双蒸水或者ｄｍｓｏ，配成溶液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21</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Rat GM-CSF</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50UG　　大鼠重组蛋白　　 Lyophilized from a 0.2 μm filtered solution in 10 mM Hepes, 500 mM NaCl with 5% trehalose, pH7.4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22</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Recombinant Mouse EGF</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10支</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50UG　　小鼠重组蛋白　　　此产品冻干蛋白质在-20°C下可稳定长达1年，蛋白质溶液可在2-8°C下储存长达1周。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23</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 96孔细胞培养板</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100块/箱　此产品用于细胞的培养增殖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24</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6孔细胞培养板</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50块/箱　　该产品用于贴壁细胞的增殖培养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 96孔酶标板</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10块/盒  4盒/箱　此产品可以高结合表面能够结合介质（&gt;10D）和具有离子基团和/或疏水区的大生物分子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26</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24孔细胞培养板</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100块/箱　此产品用于细胞的培养增殖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27</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60mm细胞培养皿</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10/包 50块/箱　　此产品用于细胞的培养增殖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28</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40um蓝色细胞滤网，尼龙过滤膜</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1个/包,50包/盒,12盒/箱　　用于实验室细胞培养、流式仪细胞样品、杂质过滤、细胞分散、分样等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29</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0.2ml八排单管</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125排/盒 10盒/箱　　用于实时荧光定量实验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荧光定量透明封板膜</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100张/盒　用于实时荧光定量实验中ｐｃｒ板的封板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31</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 无噬菌体低内毒素 胎牛血清</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140瓶</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100ml　　本品采自引产胎牛，经3次100nm过滤，无噬菌体，内毒素 含量极低≤5EU/ml，超过国际先进水平，极佳的促细胞生 长繁殖效果。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32</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乳胶手套 M号</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40箱</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100支/盒　　用于实验室常规实验操作中保护双手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33</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BCA蛋白浓度测定试剂盒(增强型)</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200T　　用于检测样本中的蛋白浓度含量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34</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Anti-Myc支原体清除试剂(200×)</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1ml*5　　用于去除细胞培养中支原体感染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35</w:t>
            </w:r>
          </w:p>
        </w:tc>
        <w:tc>
          <w:tcPr>
            <w:tcW w:w="1223"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前列腺素E1</w:t>
            </w:r>
          </w:p>
        </w:tc>
        <w:tc>
          <w:tcPr>
            <w:tcW w:w="497" w:type="pct"/>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3瓶</w:t>
            </w:r>
          </w:p>
        </w:tc>
        <w:tc>
          <w:tcPr>
            <w:tcW w:w="2895" w:type="pct"/>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50mg　　前列腺素Ｅ对EP3和EP4受体具有一定的选择性（小鼠EP3，EP4，EP1，EP2和IP受体的ki值分别为1.1、2.1、36、10和33 nM）。抑制血小板聚集，是体内血管扩张剂　</w:t>
            </w:r>
          </w:p>
        </w:tc>
      </w:tr>
    </w:tbl>
    <w:p>
      <w:pPr>
        <w:ind w:firstLine="480"/>
        <w:rPr>
          <w:rFonts w:ascii="仿宋" w:hAnsi="仿宋" w:cs="仿宋"/>
        </w:rPr>
      </w:pPr>
    </w:p>
    <w:p>
      <w:pPr>
        <w:ind w:firstLine="482"/>
        <w:rPr>
          <w:rFonts w:ascii="仿宋" w:hAnsi="仿宋" w:cs="仿宋"/>
          <w:b/>
          <w:bCs/>
        </w:rPr>
      </w:pPr>
      <w:r>
        <w:rPr>
          <w:rFonts w:hint="eastAsia" w:ascii="仿宋" w:hAnsi="仿宋" w:cs="仿宋"/>
          <w:b/>
          <w:bCs/>
        </w:rPr>
        <w:t>E包  预算：137万元</w:t>
      </w:r>
    </w:p>
    <w:tbl>
      <w:tblPr>
        <w:tblStyle w:val="23"/>
        <w:tblW w:w="4995" w:type="pct"/>
        <w:tblInd w:w="0" w:type="dxa"/>
        <w:shd w:val="clear" w:color="auto" w:fill="auto"/>
        <w:tblLayout w:type="fixed"/>
        <w:tblCellMar>
          <w:top w:w="0" w:type="dxa"/>
          <w:left w:w="108" w:type="dxa"/>
          <w:bottom w:w="0" w:type="dxa"/>
          <w:right w:w="108" w:type="dxa"/>
        </w:tblCellMar>
      </w:tblPr>
      <w:tblGrid>
        <w:gridCol w:w="715"/>
        <w:gridCol w:w="1906"/>
        <w:gridCol w:w="1051"/>
        <w:gridCol w:w="6172"/>
      </w:tblGrid>
      <w:tr>
        <w:tblPrEx>
          <w:shd w:val="clear" w:color="auto" w:fill="auto"/>
          <w:tblCellMar>
            <w:top w:w="0" w:type="dxa"/>
            <w:left w:w="108" w:type="dxa"/>
            <w:bottom w:w="0" w:type="dxa"/>
            <w:right w:w="108" w:type="dxa"/>
          </w:tblCellMar>
        </w:tblPrEx>
        <w:trPr>
          <w:trHeight w:val="972"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shd w:val="clear" w:color="auto" w:fill="auto"/>
          <w:tblCellMar>
            <w:top w:w="0" w:type="dxa"/>
            <w:left w:w="108" w:type="dxa"/>
            <w:bottom w:w="0" w:type="dxa"/>
            <w:right w:w="108" w:type="dxa"/>
          </w:tblCellMar>
        </w:tblPrEx>
        <w:trPr>
          <w:trHeight w:val="7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SCF elisa试剂盒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96t/盒，种属人，实验类型：双抗体夹心法</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Plasmocure</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1ml/盒，细胞毒性较低，用于消除、预防支原体</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TaqMan探针</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300rxns/盒，荧光探针</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PRNP抗体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100ul/支，兔单克隆抗体,物种反应性：</w:t>
            </w:r>
            <w:r>
              <w:rPr>
                <w:rFonts w:hint="eastAsia" w:ascii="仿宋" w:hAnsi="仿宋" w:cs="仿宋"/>
                <w:color w:val="000000"/>
                <w:kern w:val="0"/>
                <w:sz w:val="22"/>
                <w:szCs w:val="22"/>
              </w:rPr>
              <w:br w:type="textWrapping"/>
            </w:r>
            <w:r>
              <w:rPr>
                <w:rFonts w:hint="eastAsia" w:ascii="仿宋" w:hAnsi="仿宋" w:cs="仿宋"/>
                <w:color w:val="000000"/>
                <w:kern w:val="0"/>
                <w:sz w:val="22"/>
                <w:szCs w:val="22"/>
              </w:rPr>
              <w:t>人, 小鼠, 大鼠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mNeonGreen抗体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100ul/支，兔单克隆抗体,物种反应性：预期的所有物种</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NLRP3 (D4D8T) Rabbit mAb</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100ul/支，兔单克隆抗体,物种反应性：</w:t>
            </w:r>
            <w:r>
              <w:rPr>
                <w:rFonts w:hint="eastAsia" w:ascii="仿宋" w:hAnsi="仿宋" w:cs="仿宋"/>
                <w:color w:val="000000"/>
                <w:kern w:val="0"/>
                <w:sz w:val="22"/>
                <w:szCs w:val="22"/>
              </w:rPr>
              <w:br w:type="textWrapping"/>
            </w:r>
            <w:r>
              <w:rPr>
                <w:rFonts w:hint="eastAsia" w:ascii="仿宋" w:hAnsi="仿宋" w:cs="仿宋"/>
                <w:color w:val="000000"/>
                <w:kern w:val="0"/>
                <w:sz w:val="22"/>
                <w:szCs w:val="22"/>
              </w:rPr>
              <w:t>人, 小鼠</w:t>
            </w:r>
          </w:p>
        </w:tc>
      </w:tr>
      <w:tr>
        <w:tblPrEx>
          <w:shd w:val="clear" w:color="auto" w:fill="auto"/>
          <w:tblCellMar>
            <w:top w:w="0" w:type="dxa"/>
            <w:left w:w="108" w:type="dxa"/>
            <w:bottom w:w="0" w:type="dxa"/>
            <w:right w:w="108" w:type="dxa"/>
          </w:tblCellMar>
        </w:tblPrEx>
        <w:trPr>
          <w:trHeight w:val="9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Glycolysis Antibody Sampler Kit</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1个试剂盒，该试剂盒包含足够的一抗，每个一抗可进行两次蛋白质印迹法实验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FTH1抗体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100ul/支，兔单克隆抗体,物种反应性：人, 小鼠, 大鼠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xCT/SLC7A11抗体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100ul/支，兔单克隆抗体,物种反应性：小鼠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PCR 96孔板</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50块/盒，96孔半裙边PCR板 透明孔 透明裙边 高位</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Ferrostatin-1 (Fer-1)</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25mg/支，是一种有效的选择性的ferroptosis抑制剂，EC50为60nM</w:t>
            </w:r>
          </w:p>
        </w:tc>
      </w:tr>
      <w:tr>
        <w:tblPrEx>
          <w:shd w:val="clear" w:color="auto" w:fill="auto"/>
          <w:tblCellMar>
            <w:top w:w="0" w:type="dxa"/>
            <w:left w:w="108" w:type="dxa"/>
            <w:bottom w:w="0" w:type="dxa"/>
            <w:right w:w="108" w:type="dxa"/>
          </w:tblCellMar>
        </w:tblPrEx>
        <w:trPr>
          <w:trHeight w:val="108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AGGF1 </w:t>
            </w:r>
            <w:r>
              <w:rPr>
                <w:rStyle w:val="62"/>
                <w:rFonts w:hint="default" w:ascii="仿宋" w:hAnsi="仿宋" w:eastAsia="仿宋" w:cs="仿宋"/>
                <w:lang w:bidi="ar"/>
              </w:rPr>
              <w:t>ELISA检测试剂盒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96t，种属：小鼠,实验类型：双抗体夹心法,样本类型：血清、血浆、组织匀浆、细胞裂解液和其他生物液体</w:t>
            </w:r>
          </w:p>
        </w:tc>
      </w:tr>
      <w:tr>
        <w:tblPrEx>
          <w:shd w:val="clear" w:color="auto" w:fill="auto"/>
          <w:tblCellMar>
            <w:top w:w="0" w:type="dxa"/>
            <w:left w:w="108" w:type="dxa"/>
            <w:bottom w:w="0" w:type="dxa"/>
            <w:right w:w="108" w:type="dxa"/>
          </w:tblCellMar>
        </w:tblPrEx>
        <w:trPr>
          <w:trHeight w:val="126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TGFb1 </w:t>
            </w:r>
            <w:r>
              <w:rPr>
                <w:rStyle w:val="62"/>
                <w:rFonts w:hint="default" w:ascii="仿宋" w:hAnsi="仿宋" w:eastAsia="仿宋" w:cs="仿宋"/>
                <w:lang w:bidi="ar"/>
              </w:rPr>
              <w:t>ELISA检测试剂盒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96t，种属：小鼠,实验类型： 双抗体夹心法,样本类型： 血清、血浆、组织匀浆、细胞培养上清 和 其他生物液体</w:t>
            </w:r>
          </w:p>
        </w:tc>
      </w:tr>
      <w:tr>
        <w:tblPrEx>
          <w:shd w:val="clear" w:color="auto" w:fill="auto"/>
          <w:tblCellMar>
            <w:top w:w="0" w:type="dxa"/>
            <w:left w:w="108" w:type="dxa"/>
            <w:bottom w:w="0" w:type="dxa"/>
            <w:right w:w="108" w:type="dxa"/>
          </w:tblCellMar>
        </w:tblPrEx>
        <w:trPr>
          <w:trHeight w:val="136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PDGF ELISA检测试剂盒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96t，种属：小鼠,实验类型： 双抗体夹心法,样本类型： 血清、血浆、组织匀浆、细胞裂解液、细胞培养上清 和 其他生物液体</w:t>
            </w:r>
          </w:p>
        </w:tc>
      </w:tr>
      <w:tr>
        <w:tblPrEx>
          <w:shd w:val="clear" w:color="auto" w:fill="auto"/>
          <w:tblCellMar>
            <w:top w:w="0" w:type="dxa"/>
            <w:left w:w="108" w:type="dxa"/>
            <w:bottom w:w="0" w:type="dxa"/>
            <w:right w:w="108" w:type="dxa"/>
          </w:tblCellMar>
        </w:tblPrEx>
        <w:trPr>
          <w:trHeight w:val="118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IL-1β ELISA检测试剂盒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96t，种属：小鼠,实验类型： 双抗体夹心法,样本类型： 血清、血浆、组织匀浆、细胞裂解液、细胞培养上清 和 其他生物液体</w:t>
            </w:r>
          </w:p>
        </w:tc>
      </w:tr>
      <w:tr>
        <w:tblPrEx>
          <w:shd w:val="clear" w:color="auto" w:fill="auto"/>
          <w:tblCellMar>
            <w:top w:w="0" w:type="dxa"/>
            <w:left w:w="108" w:type="dxa"/>
            <w:bottom w:w="0" w:type="dxa"/>
            <w:right w:w="108" w:type="dxa"/>
          </w:tblCellMar>
        </w:tblPrEx>
        <w:trPr>
          <w:trHeight w:val="114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IL-18 ELISA检测试剂盒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96t，种属：小鼠,实验类型： 双抗体夹心法,样本类型： 血清、血浆、组织匀浆、细胞裂解液、细胞培养上清 和 其他生物液体</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17</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胰酶</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30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100ml/瓶，用于哺乳动物细胞培养，添加剂：酚红, EDTA；无菌过滤，浓度1 X</w:t>
            </w:r>
          </w:p>
        </w:tc>
      </w:tr>
      <w:tr>
        <w:tblPrEx>
          <w:shd w:val="clear" w:color="auto" w:fill="auto"/>
          <w:tblCellMar>
            <w:top w:w="0" w:type="dxa"/>
            <w:left w:w="108" w:type="dxa"/>
            <w:bottom w:w="0" w:type="dxa"/>
            <w:right w:w="108" w:type="dxa"/>
          </w:tblCellMar>
        </w:tblPrEx>
        <w:trPr>
          <w:trHeight w:val="692"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双抗</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100ml/瓶，适用于（应用）防止细胞培养受到污染，无菌过滤</w:t>
            </w:r>
          </w:p>
        </w:tc>
      </w:tr>
      <w:tr>
        <w:tblPrEx>
          <w:shd w:val="clear" w:color="auto" w:fill="auto"/>
          <w:tblCellMar>
            <w:top w:w="0" w:type="dxa"/>
            <w:left w:w="108" w:type="dxa"/>
            <w:bottom w:w="0" w:type="dxa"/>
            <w:right w:w="108" w:type="dxa"/>
          </w:tblCellMar>
        </w:tblPrEx>
        <w:trPr>
          <w:trHeight w:val="10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SuperSignal West Femto Maximum Sensitivity Substrate</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4盒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100ml/盒，一种超灵敏增强型化学发光 (ECL) 底物通过 Western 印迹分析检测低飞克级蛋白水平</w:t>
            </w:r>
          </w:p>
        </w:tc>
      </w:tr>
      <w:tr>
        <w:tblPrEx>
          <w:shd w:val="clear" w:color="auto" w:fill="auto"/>
          <w:tblCellMar>
            <w:top w:w="0" w:type="dxa"/>
            <w:left w:w="108" w:type="dxa"/>
            <w:bottom w:w="0" w:type="dxa"/>
            <w:right w:w="108" w:type="dxa"/>
          </w:tblCellMar>
        </w:tblPrEx>
        <w:trPr>
          <w:trHeight w:val="11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ER-TRACKER RED BODIPY TR GLIB</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 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100ug/支，内质网红色荧光探针,是一种细胞可透过性活细胞染色剂，对内质网 (ER) 具有高度选择性</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Dynabeads 蛋白 G</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1ml，用于免疫沉淀实验， 高靶蛋白得率和低抗体消耗</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磁珠蛋白 G</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5mL，用于免疫沉淀实验， 高靶蛋白得率和低抗体消耗</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RANKL</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10ug，重组蛋白，物种反应性：小鼠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F4/80抗体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100ug，用于流式细胞术，物种反应性：小鼠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CD3抗体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100tests，用于流式细胞术，物种反应性：人</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26</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CD3抗体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100ug，用于流式细胞术，物种反应性：小鼠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27</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CD86抗体</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125ul，用于流式细胞术，物种反应性：小鼠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IL-13</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2支</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10ug，重组蛋白，物种反应性：小鼠</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6孔培养板</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50块/箱， tc处理，无热原，无内毒素，无Dnase/Rnase，电子束灭菌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12孔培养板</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50块/箱， tc处理，无热原，无内毒素，无Dnase/Rnase，电子束灭菌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24孔培养板</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50块/箱， tc处理，无热原，无内毒素，无Dnase/Rnase，电子束灭菌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96孔培养板</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100块/箱， tc处理，无热原，无内毒素，无Dnase/Rnase，电子束灭菌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15ml离心管</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50支/包，10包/箱， t可承受12000xg离心力，无内毒素、无细胞毒性、无DNA，RNA酶</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50ml离心管</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25支/包，20包/箱，可承受12000xg离心力，无内毒素、无细胞毒性、无DNA，RNA酶</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35</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0.22um针头滤器</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250支/盒，无菌独立包装，孔径：0.22um，直径：33mm，亲水性PES材料</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36</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胎牛血清</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30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500ml/瓶，用于细胞培养，内毒素：&lt;5 EU/mL，血红蛋白：&lt;20 mg/dL</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37</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pvdf膜</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7盒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0.45um，1卷/盒，用于蛋白免疫印迹实验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pvdf膜</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0.22um，1卷/盒，用于蛋白免疫印迹实验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10ul盒装吸头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50盒/箱，无热原、无内毒素、无 DNase/RNase，无菌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200ul盒装吸头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50盒/箱，无热原、无内毒素、无 DNase/RNase，无菌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1250ul盒装吸头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50盒/箱，无热原、无内毒素、无 DNase/RNase，无菌</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10ul袋装吸头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20包/箱，无热原、无内毒素、无 DNase/RNase</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200ul袋装吸头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20包/箱，无热原、无内毒素、无 DNase/RNase</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KDD 1250ul袋装吸头</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20包/箱，无热原、无内毒素、无 DNase/RNase</w:t>
            </w:r>
          </w:p>
        </w:tc>
      </w:tr>
      <w:tr>
        <w:tblPrEx>
          <w:shd w:val="clear" w:color="auto" w:fill="auto"/>
          <w:tblCellMar>
            <w:top w:w="0" w:type="dxa"/>
            <w:left w:w="108" w:type="dxa"/>
            <w:bottom w:w="0" w:type="dxa"/>
            <w:right w:w="108" w:type="dxa"/>
          </w:tblCellMar>
        </w:tblPrEx>
        <w:trPr>
          <w:trHeight w:val="11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45</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1.8ml冻存管</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50 个 / 袋，450 个 / 盒，1800 个 / 箱，外旋，可承受121°C 高温高压灭菌，可在 -196°C 液氮环境中储存，无DNase/RNase，无热原</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46</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细胞RNA快速提取试剂盒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30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100次/盒，极速提取技术，得到的RNA可用于PCR、荧光定量PCR等实验</w:t>
            </w:r>
          </w:p>
        </w:tc>
      </w:tr>
      <w:tr>
        <w:tblPrEx>
          <w:shd w:val="clear" w:color="auto" w:fill="auto"/>
          <w:tblCellMar>
            <w:top w:w="0" w:type="dxa"/>
            <w:left w:w="108" w:type="dxa"/>
            <w:bottom w:w="0" w:type="dxa"/>
            <w:right w:w="108" w:type="dxa"/>
          </w:tblCellMar>
        </w:tblPrEx>
        <w:trPr>
          <w:trHeight w:val="883"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47</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封板膜（KDD）</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100张/盒，141*78mm，可用于96孔酶标板、96孔PCR扩增反应、PCR荧光定量等，压敏膜，对皮肤和手套无粘性，方便实验操作</w:t>
            </w:r>
          </w:p>
        </w:tc>
      </w:tr>
      <w:tr>
        <w:tblPrEx>
          <w:shd w:val="clear" w:color="auto" w:fill="auto"/>
          <w:tblCellMar>
            <w:top w:w="0" w:type="dxa"/>
            <w:left w:w="108" w:type="dxa"/>
            <w:bottom w:w="0" w:type="dxa"/>
            <w:right w:w="108" w:type="dxa"/>
          </w:tblCellMar>
        </w:tblPrEx>
        <w:trPr>
          <w:trHeight w:val="7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pcr 96孔板（KDD）</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0.1ml，100块/盒，白色，96孔，无DNA酶、RNA酶、PCR抑制物和内毒素</w:t>
            </w:r>
          </w:p>
        </w:tc>
      </w:tr>
      <w:tr>
        <w:tblPrEx>
          <w:shd w:val="clear" w:color="auto" w:fill="auto"/>
          <w:tblCellMar>
            <w:top w:w="0" w:type="dxa"/>
            <w:left w:w="108" w:type="dxa"/>
            <w:bottom w:w="0" w:type="dxa"/>
            <w:right w:w="108" w:type="dxa"/>
          </w:tblCellMar>
        </w:tblPrEx>
        <w:trPr>
          <w:trHeight w:val="14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2×Fast qPCR Master Mixture（Green）（KDD）</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12x1ml/盒，本产品为通用型 qPCR 试剂，适用于市面上所有型号的荧光定量PCR 仪器（包括 High ROX, Low ROX 以及 No ROX 需求的仪器）</w:t>
            </w:r>
          </w:p>
        </w:tc>
      </w:tr>
      <w:tr>
        <w:tblPrEx>
          <w:shd w:val="clear" w:color="auto" w:fill="auto"/>
          <w:tblCellMar>
            <w:top w:w="0" w:type="dxa"/>
            <w:left w:w="108" w:type="dxa"/>
            <w:bottom w:w="0" w:type="dxa"/>
            <w:right w:w="108" w:type="dxa"/>
          </w:tblCellMar>
        </w:tblPrEx>
        <w:trPr>
          <w:trHeight w:val="1783"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去基因组逆转录预混液（KDD）</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15盒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300t/盒，去基因组，适用于一步法RT-qPCR检测，逆转录产物兼容 SYBR Green 和探针法 qPCR，可以根据实验目的，选择相应的试剂配合使用，进行高性能的基因表达分析。</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CCK-8试剂盒</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30 瓶</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25ml/瓶，细胞活性检测试剂为一瓶即开即用的溶液，该试剂安全，无放射性</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52</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Transwell细胞培养小室</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12孔板用,0.4um,12mm，12/块,4块/箱,嵌套,透明PET膜</w:t>
            </w:r>
          </w:p>
        </w:tc>
      </w:tr>
      <w:tr>
        <w:tblPrEx>
          <w:shd w:val="clear" w:color="auto" w:fill="auto"/>
          <w:tblCellMar>
            <w:top w:w="0" w:type="dxa"/>
            <w:left w:w="108" w:type="dxa"/>
            <w:bottom w:w="0" w:type="dxa"/>
            <w:right w:w="108" w:type="dxa"/>
          </w:tblCellMar>
        </w:tblPrEx>
        <w:trPr>
          <w:trHeight w:val="94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53</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细胞滤网</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70um,1个/包，100个/箱，尼龙过滤膜（袋装）,是一种使用简便的无菌筛网，可快速分离原代细胞</w:t>
            </w:r>
          </w:p>
        </w:tc>
      </w:tr>
      <w:tr>
        <w:tblPrEx>
          <w:shd w:val="clear" w:color="auto" w:fill="auto"/>
          <w:tblCellMar>
            <w:top w:w="0" w:type="dxa"/>
            <w:left w:w="108" w:type="dxa"/>
            <w:bottom w:w="0" w:type="dxa"/>
            <w:right w:w="108" w:type="dxa"/>
          </w:tblCellMar>
        </w:tblPrEx>
        <w:trPr>
          <w:trHeight w:val="98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54</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细胞滤网</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 箱</w:t>
            </w:r>
          </w:p>
        </w:tc>
        <w:tc>
          <w:tcPr>
            <w:tcW w:w="3135" w:type="pct"/>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textAlignment w:val="top"/>
              <w:rPr>
                <w:rFonts w:ascii="仿宋" w:hAnsi="仿宋" w:cs="仿宋"/>
                <w:color w:val="000000"/>
                <w:sz w:val="22"/>
                <w:szCs w:val="22"/>
              </w:rPr>
            </w:pPr>
            <w:r>
              <w:rPr>
                <w:rFonts w:hint="eastAsia" w:ascii="仿宋" w:hAnsi="仿宋" w:cs="仿宋"/>
                <w:color w:val="000000"/>
                <w:kern w:val="0"/>
                <w:sz w:val="22"/>
                <w:szCs w:val="22"/>
              </w:rPr>
              <w:t>40um,1个/包，100个/箱，尼龙过滤膜（袋装）,是一种使用简便的无菌筛网，可快速分离原代细胞</w:t>
            </w:r>
          </w:p>
        </w:tc>
      </w:tr>
      <w:tr>
        <w:tblPrEx>
          <w:shd w:val="clear" w:color="auto" w:fill="auto"/>
          <w:tblCellMar>
            <w:top w:w="0" w:type="dxa"/>
            <w:left w:w="108" w:type="dxa"/>
            <w:bottom w:w="0" w:type="dxa"/>
            <w:right w:w="108" w:type="dxa"/>
          </w:tblCellMar>
        </w:tblPrEx>
        <w:trPr>
          <w:trHeight w:val="156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55</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CytAssist for FFPE Spatial Gene Expression 6.5mm</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1盒，16 rxns，一张芯片两个反应，试剂盒兼容两种组织类型(FF和FFPE），检测人样本</w:t>
            </w:r>
          </w:p>
        </w:tc>
      </w:tr>
      <w:tr>
        <w:tblPrEx>
          <w:shd w:val="clear" w:color="auto" w:fill="auto"/>
          <w:tblCellMar>
            <w:top w:w="0" w:type="dxa"/>
            <w:left w:w="108" w:type="dxa"/>
            <w:bottom w:w="0" w:type="dxa"/>
            <w:right w:w="108" w:type="dxa"/>
          </w:tblCellMar>
        </w:tblPrEx>
        <w:trPr>
          <w:trHeight w:val="102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56</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CytAssist for FFPE Spatial Gene Expression 6.5mm</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1盒，4 rxns，一张芯片两个反应，试剂盒兼容两种组织类型(FF和FFPE），检测小鼠样本</w:t>
            </w:r>
          </w:p>
        </w:tc>
      </w:tr>
      <w:tr>
        <w:tblPrEx>
          <w:shd w:val="clear" w:color="auto" w:fill="auto"/>
          <w:tblCellMar>
            <w:top w:w="0" w:type="dxa"/>
            <w:left w:w="108" w:type="dxa"/>
            <w:bottom w:w="0" w:type="dxa"/>
            <w:right w:w="108" w:type="dxa"/>
          </w:tblCellMar>
        </w:tblPrEx>
        <w:trPr>
          <w:trHeight w:val="108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57</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CytAssist for FFPE Spatial Gene Expression 11mm Kit</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1盒，2 rxns，一张芯片两个反应，试剂盒兼容两种组织类型(FF和FFPE），检测小鼠样本</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58</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6.5mm Slide Cassette</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1盒，4 pk，耗材卡夹</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59</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11mm Slide Cassette</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1盒，4 pk，耗材卡夹</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60</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Visium Gene Expression Slide &amp; Reagents Kit </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1盒，4 rxns，对各个物种的全转录组进行无偏检测，适用于新鲜冷冻样本</w:t>
            </w:r>
          </w:p>
        </w:tc>
      </w:tr>
      <w:tr>
        <w:tblPrEx>
          <w:shd w:val="clear" w:color="auto" w:fill="auto"/>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61</w:t>
            </w:r>
          </w:p>
        </w:tc>
        <w:tc>
          <w:tcPr>
            <w:tcW w:w="9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Tissue Optimization Slide &amp; Reagents Kit</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1盒，4 slides，对各个物种的全转录组进行无偏检测，适用于新鲜冷冻样本</w:t>
            </w:r>
          </w:p>
        </w:tc>
      </w:tr>
      <w:tr>
        <w:tblPrEx>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62</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Spatial for FFPE Gene Expression Kit</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1盒，转录组4rxns，检测人样本，适用于FFPE样本试剂</w:t>
            </w:r>
          </w:p>
        </w:tc>
      </w:tr>
      <w:tr>
        <w:tblPrEx>
          <w:tblCellMar>
            <w:top w:w="0" w:type="dxa"/>
            <w:left w:w="108" w:type="dxa"/>
            <w:bottom w:w="0" w:type="dxa"/>
            <w:right w:w="108" w:type="dxa"/>
          </w:tblCellMar>
        </w:tblPrEx>
        <w:trPr>
          <w:trHeight w:val="60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63</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Visium Spatial for FFPE Gene Expression Kit</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2 盒</w:t>
            </w:r>
          </w:p>
        </w:tc>
        <w:tc>
          <w:tcPr>
            <w:tcW w:w="31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rPr>
              <w:t>1盒，转录组4rxns，检测小鼠样本，适用于FFPE样本试剂</w:t>
            </w:r>
          </w:p>
        </w:tc>
      </w:tr>
    </w:tbl>
    <w:p>
      <w:pPr>
        <w:pStyle w:val="7"/>
        <w:ind w:firstLine="480"/>
        <w:rPr>
          <w:rFonts w:ascii="仿宋" w:hAnsi="仿宋" w:cs="仿宋"/>
        </w:rPr>
      </w:pPr>
    </w:p>
    <w:p>
      <w:pPr>
        <w:ind w:firstLine="482"/>
        <w:rPr>
          <w:rFonts w:ascii="仿宋" w:hAnsi="仿宋" w:cs="仿宋"/>
          <w:b/>
          <w:bCs/>
        </w:rPr>
      </w:pPr>
      <w:r>
        <w:rPr>
          <w:rFonts w:hint="eastAsia" w:ascii="仿宋" w:hAnsi="仿宋" w:cs="仿宋"/>
          <w:b/>
          <w:bCs/>
        </w:rPr>
        <w:br w:type="page"/>
      </w:r>
    </w:p>
    <w:p>
      <w:pPr>
        <w:ind w:firstLine="482"/>
        <w:rPr>
          <w:rFonts w:ascii="仿宋" w:hAnsi="仿宋" w:cs="仿宋"/>
          <w:b/>
          <w:bCs/>
        </w:rPr>
      </w:pPr>
      <w:r>
        <w:rPr>
          <w:rFonts w:hint="eastAsia" w:ascii="仿宋" w:hAnsi="仿宋" w:cs="仿宋"/>
          <w:b/>
          <w:bCs/>
        </w:rPr>
        <w:t>F包  预算24万元</w:t>
      </w:r>
    </w:p>
    <w:p>
      <w:pPr>
        <w:ind w:firstLine="482"/>
        <w:rPr>
          <w:rFonts w:ascii="仿宋" w:hAnsi="仿宋" w:cs="仿宋"/>
          <w:b/>
          <w:bCs/>
        </w:rPr>
      </w:pPr>
    </w:p>
    <w:tbl>
      <w:tblPr>
        <w:tblStyle w:val="23"/>
        <w:tblW w:w="4993" w:type="pct"/>
        <w:tblInd w:w="0" w:type="dxa"/>
        <w:shd w:val="clear" w:color="auto" w:fill="auto"/>
        <w:tblLayout w:type="fixed"/>
        <w:tblCellMar>
          <w:top w:w="0" w:type="dxa"/>
          <w:left w:w="108" w:type="dxa"/>
          <w:bottom w:w="0" w:type="dxa"/>
          <w:right w:w="108" w:type="dxa"/>
        </w:tblCellMar>
      </w:tblPr>
      <w:tblGrid>
        <w:gridCol w:w="629"/>
        <w:gridCol w:w="1766"/>
        <w:gridCol w:w="1708"/>
        <w:gridCol w:w="5737"/>
      </w:tblGrid>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序号</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名称</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数量</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规格</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彩色快速凝胶配制试剂盒（10%）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125块/盒   上下层预混胶，上层彩色凝胶，配置时间不超过20分钟配胶过程中无需额外添加 TEMED</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彩色快速凝胶配制试剂盒（12.5%）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125块/盒   上下层预混胶，上层彩色凝胶，配置时间不超过20分钟配胶过程中无需额外添加 TEMED</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彩色快速凝胶配制试剂盒（15%）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125块/盒   上下层预混胶，上层彩色凝胶，配置时间不超过20分钟配胶过程中无需额外添加 TEMED</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All-in-one First Strand cDNA Synthesis Kit Ⅱ(with dsDNase)</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35盒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100T/盒 dsDNase 高效去除基因组 DNA污染并且可在高温条件下快速不可逆地失活，无需额外加入 EDTA 进行失活</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 SYBR Green qPCR MasterMixⅡ（Universal)</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40盒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5ml×10/盒  与一系列 qPCR 设备兼容，包括需要 ROX 校正的仪器，实验操作过程</w:t>
            </w:r>
            <w:r>
              <w:rPr>
                <w:rFonts w:hint="eastAsia" w:ascii="仿宋" w:hAnsi="仿宋" w:cs="仿宋"/>
                <w:color w:val="000000"/>
                <w:kern w:val="0"/>
                <w:sz w:val="22"/>
                <w:szCs w:val="22"/>
                <w:lang w:bidi="ar"/>
              </w:rPr>
              <w:br w:type="textWrapping"/>
            </w:r>
            <w:r>
              <w:rPr>
                <w:rFonts w:hint="eastAsia" w:ascii="仿宋" w:hAnsi="仿宋" w:cs="仿宋"/>
                <w:color w:val="000000"/>
                <w:kern w:val="0"/>
                <w:sz w:val="22"/>
                <w:szCs w:val="22"/>
                <w:lang w:bidi="ar"/>
              </w:rPr>
              <w:t>中不需要额外添加染料来校正仪器</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核酸分离剂/氯仿代替物 BCP</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52瓶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100ml/瓶 RNA 抽提试剂以及使用酚类试剂提取 DNA 时直接代替氯仿进行抽提</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7</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IL-15 ELISA Kit</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96T/盒 检测范围：62.5-4000pg/mL  灵敏度：31.2pg/ml  血清，血浆和细胞培养上清液</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w:t>
            </w:r>
          </w:p>
        </w:tc>
        <w:tc>
          <w:tcPr>
            <w:tcW w:w="8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IL-6 ELISA Kit</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96T/盒 检测范围：15.6-10000pg/mL  灵敏度：4pg/ml 血清、血浆、细胞培养上清液、细胞溶解液、组织均质液等生物液</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9</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IL-12/IL-23 p40 ELISA Kit</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96T/盒 检测范围：31.2-2000pg/mL  灵敏度：4pg/ml 血清、等离子体、细胞培养物和其他生物液体</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Mouse TNF-alpha ELISA Kit</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96T/盒 检测范围：15.6-1000pg/mL  灵敏度：6.5pg/ml 血清，血浆和细胞培养上清液</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11</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通用抗体稀释液</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25瓶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500ml/瓶 适用于稀释所有免疫抗体测定（IF、IHC、 ELISA、WB）实验中抗体的稀释，4度保存至少两年</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12</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通用快速封闭液</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500ml/瓶 可高效快速应用于多种免疫检测实验（WB、IHC、ELISA、IF 等）的封闭，无磷酸化蛋白，无生物素， 封闭时间10分钟之内</w:t>
            </w:r>
          </w:p>
        </w:tc>
      </w:tr>
      <w:tr>
        <w:tblPrEx>
          <w:shd w:val="clear" w:color="auto" w:fill="auto"/>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13</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柱式总蛋白提取试剂盒</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20盒</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100T/盒 柱式 非RIPA提取。 从细胞、组织中快速提取总蛋白，提取时间 5min，提取获得的全蛋白可用于 SDS-PAGE、Western Blot、ELISA等研究</w:t>
            </w:r>
          </w:p>
        </w:tc>
      </w:tr>
      <w:tr>
        <w:tblPrEx>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14</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 xml:space="preserve">Erastin </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5瓶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 纯度大于 99.90%有参考使用文献</w:t>
            </w:r>
          </w:p>
        </w:tc>
      </w:tr>
      <w:tr>
        <w:tblPrEx>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15</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FIN56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6瓶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50mg 纯度大于99.90%  有参考使用文献</w:t>
            </w:r>
          </w:p>
        </w:tc>
      </w:tr>
      <w:tr>
        <w:tblPrEx>
          <w:tblCellMar>
            <w:top w:w="0" w:type="dxa"/>
            <w:left w:w="108" w:type="dxa"/>
            <w:bottom w:w="0" w:type="dxa"/>
            <w:right w:w="108" w:type="dxa"/>
          </w:tblCellMar>
        </w:tblPrEx>
        <w:trPr>
          <w:trHeight w:val="6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16</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RSL3</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lang w:bidi="ar"/>
              </w:rPr>
              <w:t>8瓶</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仿宋" w:hAnsi="仿宋" w:cs="仿宋"/>
                <w:color w:val="000000"/>
                <w:sz w:val="22"/>
                <w:szCs w:val="22"/>
              </w:rPr>
            </w:pPr>
            <w:r>
              <w:rPr>
                <w:rFonts w:hint="eastAsia" w:ascii="仿宋" w:hAnsi="仿宋" w:cs="仿宋"/>
                <w:color w:val="000000"/>
                <w:kern w:val="0"/>
                <w:sz w:val="22"/>
                <w:szCs w:val="22"/>
                <w:lang w:bidi="ar"/>
              </w:rPr>
              <w:t>100mg纯度大于99.95% 有参考使用文献</w:t>
            </w:r>
          </w:p>
        </w:tc>
      </w:tr>
    </w:tbl>
    <w:p>
      <w:pPr>
        <w:ind w:firstLine="0" w:firstLineChars="0"/>
        <w:rPr>
          <w:rFonts w:ascii="仿宋" w:hAnsi="仿宋" w:cs="仿宋"/>
          <w:b/>
          <w:bCs/>
        </w:rPr>
      </w:pPr>
      <w:r>
        <w:rPr>
          <w:rFonts w:hint="eastAsia" w:ascii="仿宋" w:hAnsi="仿宋" w:cs="仿宋"/>
          <w:b/>
          <w:bCs/>
        </w:rPr>
        <w:t>售后服务保障</w:t>
      </w:r>
    </w:p>
    <w:p>
      <w:pPr>
        <w:pStyle w:val="2"/>
        <w:ind w:left="0" w:leftChars="0" w:firstLine="480"/>
        <w:rPr>
          <w:rFonts w:ascii="仿宋" w:hAnsi="仿宋" w:cs="仿宋"/>
        </w:rPr>
      </w:pPr>
      <w:r>
        <w:rPr>
          <w:rFonts w:hint="eastAsia" w:ascii="仿宋" w:hAnsi="仿宋" w:cs="仿宋"/>
          <w:szCs w:val="24"/>
        </w:rPr>
        <w:t>1、交货期：按甲方要求供货。</w:t>
      </w:r>
    </w:p>
    <w:p>
      <w:pPr>
        <w:ind w:firstLine="480"/>
        <w:rPr>
          <w:rFonts w:ascii="仿宋" w:hAnsi="仿宋" w:cs="仿宋"/>
        </w:rPr>
      </w:pPr>
      <w:r>
        <w:rPr>
          <w:rFonts w:hint="eastAsia" w:ascii="仿宋" w:hAnsi="仿宋" w:cs="仿宋"/>
        </w:rPr>
        <w:t>2、交货地点：严格按照国家相关要求的运输方式送到用户指定地点。</w:t>
      </w:r>
    </w:p>
    <w:p>
      <w:pPr>
        <w:pStyle w:val="2"/>
        <w:widowControl/>
        <w:ind w:left="0" w:leftChars="0" w:firstLine="480"/>
        <w:rPr>
          <w:rFonts w:ascii="仿宋" w:hAnsi="仿宋" w:cs="仿宋"/>
          <w:szCs w:val="24"/>
        </w:rPr>
      </w:pPr>
      <w:r>
        <w:rPr>
          <w:rFonts w:hint="eastAsia" w:ascii="仿宋" w:hAnsi="仿宋" w:cs="仿宋"/>
          <w:szCs w:val="24"/>
        </w:rPr>
        <w:t>3、质量保证期：到货后验收发现外箱破损或受潮、污染的，供应商须免费更换此产品。如产品出现问题用户通知卖方后应在24小时内答复，并尽快解决问题。</w:t>
      </w:r>
    </w:p>
    <w:p>
      <w:pPr>
        <w:pStyle w:val="2"/>
        <w:widowControl/>
        <w:ind w:left="0" w:leftChars="0" w:firstLine="480"/>
        <w:rPr>
          <w:rFonts w:ascii="仿宋" w:hAnsi="仿宋" w:cs="仿宋"/>
          <w:szCs w:val="24"/>
        </w:rPr>
      </w:pPr>
      <w:r>
        <w:rPr>
          <w:rFonts w:hint="eastAsia" w:ascii="仿宋" w:hAnsi="仿宋" w:cs="仿宋"/>
          <w:szCs w:val="24"/>
        </w:rPr>
        <w:t>4、供货地点：所有产品的供货、安装地点均由用户指定。</w:t>
      </w:r>
    </w:p>
    <w:p>
      <w:pPr>
        <w:pStyle w:val="2"/>
        <w:widowControl/>
        <w:ind w:left="0" w:leftChars="0" w:firstLine="480"/>
        <w:rPr>
          <w:rFonts w:ascii="仿宋" w:hAnsi="仿宋" w:cs="仿宋"/>
          <w:szCs w:val="24"/>
        </w:rPr>
      </w:pPr>
      <w:r>
        <w:rPr>
          <w:rFonts w:hint="eastAsia" w:ascii="仿宋" w:hAnsi="仿宋" w:cs="仿宋"/>
          <w:szCs w:val="24"/>
        </w:rPr>
        <w:t>5、报价需逐条报价，不得有空项。</w:t>
      </w:r>
    </w:p>
    <w:p>
      <w:pPr>
        <w:rPr>
          <w:rFonts w:hint="eastAsia" w:ascii="仿宋" w:hAnsi="仿宋" w:eastAsia="仿宋" w:cs="仿宋"/>
          <w:sz w:val="24"/>
          <w:szCs w:val="24"/>
          <w:lang w:val="en-US" w:eastAsia="zh-CN"/>
        </w:rPr>
      </w:pPr>
      <w:r>
        <w:rPr>
          <w:rFonts w:hint="eastAsia" w:ascii="仿宋" w:hAnsi="仿宋" w:cs="仿宋"/>
        </w:rPr>
        <w:t>6、</w:t>
      </w:r>
      <w:r>
        <w:rPr>
          <w:rFonts w:hint="eastAsia" w:ascii="仿宋" w:hAnsi="仿宋" w:eastAsia="仿宋" w:cs="仿宋"/>
          <w:sz w:val="24"/>
          <w:szCs w:val="24"/>
          <w:lang w:val="en-US" w:eastAsia="zh-CN"/>
        </w:rPr>
        <w:t>验收</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1货物运抵现场后，卖方应派工程技术人员到达现场，采购人将对货物数量、质量、规格等进行检验。如发现货物和规格或者两者都与</w:t>
      </w:r>
      <w:r>
        <w:rPr>
          <w:rFonts w:hint="eastAsia" w:ascii="仿宋" w:hAnsi="仿宋" w:cs="仿宋"/>
          <w:sz w:val="24"/>
          <w:szCs w:val="24"/>
          <w:lang w:val="en-US" w:eastAsia="zh-CN"/>
        </w:rPr>
        <w:t>磋商文件</w:t>
      </w:r>
      <w:r>
        <w:rPr>
          <w:rFonts w:hint="eastAsia" w:ascii="仿宋" w:hAnsi="仿宋" w:eastAsia="仿宋" w:cs="仿宋"/>
          <w:sz w:val="24"/>
          <w:szCs w:val="24"/>
          <w:lang w:val="en-US" w:eastAsia="zh-CN"/>
        </w:rPr>
        <w:t>、</w:t>
      </w:r>
      <w:r>
        <w:rPr>
          <w:rFonts w:hint="eastAsia" w:ascii="仿宋" w:hAnsi="仿宋" w:cs="仿宋"/>
          <w:sz w:val="24"/>
          <w:szCs w:val="24"/>
          <w:lang w:val="en-US" w:eastAsia="zh-CN"/>
        </w:rPr>
        <w:t>响应文件</w:t>
      </w:r>
      <w:r>
        <w:rPr>
          <w:rFonts w:hint="eastAsia" w:ascii="仿宋" w:hAnsi="仿宋" w:eastAsia="仿宋" w:cs="仿宋"/>
          <w:sz w:val="24"/>
          <w:szCs w:val="24"/>
          <w:lang w:val="en-US" w:eastAsia="zh-CN"/>
        </w:rPr>
        <w:t>、合同不符，采购人有权限根据检验结果要求中标人立即更换或者提出索赔要求。</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sz w:val="24"/>
          <w:szCs w:val="24"/>
          <w:lang w:val="en-US" w:eastAsia="zh-CN"/>
        </w:rPr>
      </w:pPr>
      <w:r>
        <w:rPr>
          <w:rFonts w:hint="eastAsia" w:ascii="仿宋" w:hAnsi="仿宋" w:eastAsia="仿宋" w:cs="仿宋"/>
          <w:sz w:val="24"/>
          <w:szCs w:val="24"/>
          <w:lang w:val="en-US" w:eastAsia="zh-CN"/>
        </w:rPr>
        <w:t>3对安装有特殊要求的设备，中标人应在合同签订后 10 个工作日内以书面形式向采购人提出安装场地环境要求，采购人负责安装场地的准备</w:t>
      </w:r>
      <w:r>
        <w:rPr>
          <w:rFonts w:hint="eastAsia"/>
          <w:sz w:val="24"/>
          <w:szCs w:val="24"/>
          <w:lang w:val="en-US" w:eastAsia="zh-CN"/>
        </w:rPr>
        <w:t>。</w:t>
      </w:r>
    </w:p>
    <w:p>
      <w:pPr>
        <w:ind w:firstLine="480"/>
        <w:rPr>
          <w:rFonts w:ascii="仿宋" w:hAnsi="仿宋" w:cs="仿宋"/>
        </w:rPr>
      </w:pPr>
      <w:r>
        <w:rPr>
          <w:rFonts w:hint="eastAsia" w:ascii="仿宋" w:hAnsi="仿宋" w:cs="仿宋"/>
        </w:rPr>
        <w:t>7、货物由中标人进行安装、调试，并承担因此发生的一切费用。完毕后，采购人应对货物（试剂）的数量、质量、规格、性能等进行详细而全面的检验。</w:t>
      </w:r>
    </w:p>
    <w:p>
      <w:pPr>
        <w:pStyle w:val="2"/>
        <w:ind w:left="0" w:leftChars="0" w:firstLine="480"/>
        <w:rPr>
          <w:rFonts w:ascii="仿宋" w:hAnsi="仿宋" w:cs="仿宋"/>
        </w:rPr>
      </w:pPr>
      <w:r>
        <w:rPr>
          <w:rFonts w:hint="eastAsia" w:ascii="仿宋" w:hAnsi="仿宋" w:cs="仿宋"/>
        </w:rPr>
        <w:t>8、付款方式：</w:t>
      </w:r>
    </w:p>
    <w:p>
      <w:pPr>
        <w:pStyle w:val="2"/>
        <w:ind w:left="0" w:leftChars="0" w:firstLine="48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2"/>
        <w:ind w:left="0" w:leftChars="0" w:firstLine="480"/>
        <w:rPr>
          <w:rFonts w:ascii="仿宋" w:hAnsi="仿宋" w:cs="仿宋"/>
        </w:rPr>
      </w:pPr>
      <w:r>
        <w:rPr>
          <w:rFonts w:hint="eastAsia" w:ascii="仿宋" w:hAnsi="仿宋" w:cs="仿宋"/>
        </w:rPr>
        <w:t>9、1）履约保证金提交形式：电汇形式、银行汇票、履约保函</w:t>
      </w:r>
    </w:p>
    <w:p>
      <w:pPr>
        <w:ind w:firstLine="480"/>
        <w:rPr>
          <w:rFonts w:ascii="仿宋" w:hAnsi="仿宋" w:cs="仿宋"/>
        </w:rPr>
      </w:pPr>
      <w:r>
        <w:rPr>
          <w:rFonts w:hint="eastAsia" w:ascii="仿宋" w:hAnsi="仿宋" w:cs="仿宋"/>
        </w:rPr>
        <w:t>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
        <w:ind w:left="0" w:leftChars="0" w:firstLine="480"/>
        <w:rPr>
          <w:rFonts w:ascii="仿宋" w:hAnsi="仿宋" w:cs="仿宋"/>
        </w:rPr>
      </w:pPr>
      <w:r>
        <w:rPr>
          <w:rFonts w:hint="eastAsia" w:ascii="仿宋" w:hAnsi="仿宋" w:cs="仿宋"/>
        </w:rPr>
        <w:t>3）增值税发票开具信息：</w:t>
      </w:r>
    </w:p>
    <w:p>
      <w:pPr>
        <w:pStyle w:val="2"/>
        <w:ind w:left="0" w:leftChars="0" w:firstLine="480"/>
        <w:rPr>
          <w:rFonts w:ascii="仿宋" w:hAnsi="仿宋" w:cs="仿宋"/>
        </w:rPr>
      </w:pPr>
      <w:r>
        <w:rPr>
          <w:rFonts w:hint="eastAsia" w:ascii="仿宋" w:hAnsi="仿宋" w:cs="仿宋"/>
        </w:rPr>
        <w:t>名  称： 山东第一医科大学 </w:t>
      </w:r>
    </w:p>
    <w:p>
      <w:pPr>
        <w:pStyle w:val="2"/>
        <w:ind w:left="0" w:leftChars="0" w:firstLine="480"/>
        <w:rPr>
          <w:rFonts w:ascii="仿宋" w:hAnsi="仿宋" w:cs="仿宋"/>
        </w:rPr>
      </w:pPr>
      <w:r>
        <w:rPr>
          <w:rFonts w:hint="eastAsia" w:ascii="仿宋" w:hAnsi="仿宋" w:cs="仿宋"/>
        </w:rPr>
        <w:t>识别号： 12370000MB2865235G</w:t>
      </w:r>
    </w:p>
    <w:p>
      <w:pPr>
        <w:pStyle w:val="2"/>
        <w:ind w:left="0" w:leftChars="0" w:firstLine="480"/>
        <w:rPr>
          <w:rFonts w:ascii="仿宋" w:hAnsi="仿宋" w:cs="仿宋"/>
        </w:rPr>
      </w:pPr>
      <w:r>
        <w:rPr>
          <w:rFonts w:hint="eastAsia" w:ascii="仿宋" w:hAnsi="仿宋" w:cs="仿宋"/>
        </w:rPr>
        <w:t>地  址： 济南市槐荫区青岛路6699号</w:t>
      </w:r>
    </w:p>
    <w:p>
      <w:pPr>
        <w:pStyle w:val="2"/>
        <w:ind w:left="0" w:leftChars="0" w:firstLine="480"/>
        <w:rPr>
          <w:rFonts w:ascii="仿宋" w:hAnsi="仿宋" w:cs="仿宋"/>
        </w:rPr>
      </w:pPr>
      <w:r>
        <w:rPr>
          <w:rFonts w:hint="eastAsia" w:ascii="仿宋" w:hAnsi="仿宋" w:cs="仿宋"/>
        </w:rPr>
        <w:t>电  话： 0538-6229987</w:t>
      </w:r>
    </w:p>
    <w:p>
      <w:pPr>
        <w:pStyle w:val="2"/>
        <w:ind w:left="0" w:leftChars="0" w:firstLine="480"/>
        <w:rPr>
          <w:rFonts w:ascii="仿宋" w:hAnsi="仿宋" w:cs="仿宋"/>
        </w:rPr>
      </w:pPr>
      <w:r>
        <w:rPr>
          <w:rFonts w:hint="eastAsia" w:ascii="仿宋" w:hAnsi="仿宋" w:cs="仿宋"/>
        </w:rPr>
        <w:t>账户名称：山东第一医科大学</w:t>
      </w:r>
    </w:p>
    <w:p>
      <w:pPr>
        <w:pStyle w:val="2"/>
        <w:ind w:left="0" w:leftChars="0" w:firstLine="480"/>
        <w:rPr>
          <w:rFonts w:ascii="仿宋" w:hAnsi="仿宋" w:cs="仿宋"/>
        </w:rPr>
      </w:pPr>
      <w:r>
        <w:rPr>
          <w:rFonts w:hint="eastAsia" w:ascii="仿宋" w:hAnsi="仿宋" w:cs="仿宋"/>
        </w:rPr>
        <w:t>账  号：15518501040000160</w:t>
      </w:r>
    </w:p>
    <w:p>
      <w:pPr>
        <w:pStyle w:val="2"/>
        <w:ind w:left="0" w:leftChars="0" w:firstLine="480"/>
        <w:rPr>
          <w:rFonts w:ascii="仿宋" w:hAnsi="仿宋" w:cs="仿宋"/>
        </w:rPr>
      </w:pPr>
      <w:r>
        <w:rPr>
          <w:rFonts w:hint="eastAsia" w:ascii="仿宋" w:hAnsi="仿宋" w:cs="仿宋"/>
        </w:rPr>
        <w:t>开户行：中国农业银行股份有限公司泰安旅游开发区分理处</w:t>
      </w:r>
    </w:p>
    <w:p>
      <w:pPr>
        <w:pStyle w:val="2"/>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rPr>
        <w:t>10、若有其他优惠请自报。</w:t>
      </w:r>
    </w:p>
    <w:p>
      <w:pPr>
        <w:pStyle w:val="2"/>
        <w:ind w:left="0" w:leftChars="0" w:firstLine="0" w:firstLineChars="0"/>
        <w:rPr>
          <w:rFonts w:ascii="仿宋" w:hAnsi="仿宋" w:cs="仿宋"/>
        </w:rPr>
      </w:pPr>
    </w:p>
    <w:sectPr>
      <w:footerReference r:id="rId11" w:type="default"/>
      <w:pgSz w:w="11906" w:h="16838"/>
      <w:pgMar w:top="1134" w:right="992" w:bottom="1440" w:left="1276" w:header="851" w:footer="992" w:gutter="0"/>
      <w:pgBorders>
        <w:top w:val="none" w:sz="0" w:space="0"/>
        <w:left w:val="none" w:sz="0" w:space="0"/>
        <w:bottom w:val="none" w:sz="0" w:space="0"/>
        <w:right w:val="none" w:sz="0" w:space="0"/>
      </w:pgBorders>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微软雅黑">
    <w:panose1 w:val="020B0503020204020204"/>
    <w:charset w:val="86"/>
    <w:family w:val="swiss"/>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1EEF"/>
    <w:rsid w:val="000D6789"/>
    <w:rsid w:val="000D760E"/>
    <w:rsid w:val="000E35A5"/>
    <w:rsid w:val="000F2938"/>
    <w:rsid w:val="000F753C"/>
    <w:rsid w:val="00121958"/>
    <w:rsid w:val="001231FB"/>
    <w:rsid w:val="0012414B"/>
    <w:rsid w:val="001248B4"/>
    <w:rsid w:val="001253C8"/>
    <w:rsid w:val="00125993"/>
    <w:rsid w:val="001261D7"/>
    <w:rsid w:val="00127521"/>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36049"/>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A6B0A"/>
    <w:rsid w:val="002B2800"/>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0B58"/>
    <w:rsid w:val="00304F7E"/>
    <w:rsid w:val="00305B62"/>
    <w:rsid w:val="00307256"/>
    <w:rsid w:val="003143E3"/>
    <w:rsid w:val="00327008"/>
    <w:rsid w:val="00331100"/>
    <w:rsid w:val="00333444"/>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5BE0"/>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333"/>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16CD0"/>
    <w:rsid w:val="005202FC"/>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26D6"/>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2731"/>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85A47"/>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2DD"/>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87881"/>
    <w:rsid w:val="00C93F93"/>
    <w:rsid w:val="00C941C8"/>
    <w:rsid w:val="00C94E0E"/>
    <w:rsid w:val="00C96942"/>
    <w:rsid w:val="00CA0B8F"/>
    <w:rsid w:val="00CA12E4"/>
    <w:rsid w:val="00CA225E"/>
    <w:rsid w:val="00CB1FEF"/>
    <w:rsid w:val="00CB2C95"/>
    <w:rsid w:val="00CB2D3F"/>
    <w:rsid w:val="00CB4B61"/>
    <w:rsid w:val="00CB6886"/>
    <w:rsid w:val="00CC05AA"/>
    <w:rsid w:val="00CC0EEF"/>
    <w:rsid w:val="00CC404D"/>
    <w:rsid w:val="00CC40A2"/>
    <w:rsid w:val="00CC62EB"/>
    <w:rsid w:val="00CC6841"/>
    <w:rsid w:val="00CD5099"/>
    <w:rsid w:val="00CE1272"/>
    <w:rsid w:val="00CE2F47"/>
    <w:rsid w:val="00CF72A9"/>
    <w:rsid w:val="00D04FA3"/>
    <w:rsid w:val="00D05010"/>
    <w:rsid w:val="00D07DF7"/>
    <w:rsid w:val="00D1131F"/>
    <w:rsid w:val="00D1422B"/>
    <w:rsid w:val="00D17727"/>
    <w:rsid w:val="00D2625A"/>
    <w:rsid w:val="00D32A99"/>
    <w:rsid w:val="00D3725A"/>
    <w:rsid w:val="00D408B5"/>
    <w:rsid w:val="00D41D85"/>
    <w:rsid w:val="00D51786"/>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B7615"/>
    <w:rsid w:val="00FC4C7E"/>
    <w:rsid w:val="00FC651D"/>
    <w:rsid w:val="00FD3791"/>
    <w:rsid w:val="00FE0D31"/>
    <w:rsid w:val="00FE4657"/>
    <w:rsid w:val="00FE4DD0"/>
    <w:rsid w:val="00FF1F5A"/>
    <w:rsid w:val="026D1407"/>
    <w:rsid w:val="029F683D"/>
    <w:rsid w:val="02BD2BA1"/>
    <w:rsid w:val="03877628"/>
    <w:rsid w:val="03C13C16"/>
    <w:rsid w:val="059F550F"/>
    <w:rsid w:val="067F5B8E"/>
    <w:rsid w:val="07114FAA"/>
    <w:rsid w:val="07D53927"/>
    <w:rsid w:val="08012B30"/>
    <w:rsid w:val="08297BEC"/>
    <w:rsid w:val="092334AC"/>
    <w:rsid w:val="0A1814F3"/>
    <w:rsid w:val="0A8B4F6E"/>
    <w:rsid w:val="0B500328"/>
    <w:rsid w:val="0D1B387B"/>
    <w:rsid w:val="0D6671EC"/>
    <w:rsid w:val="0E2E22F9"/>
    <w:rsid w:val="0EB67D00"/>
    <w:rsid w:val="119B16ED"/>
    <w:rsid w:val="11BC0275"/>
    <w:rsid w:val="120D76ED"/>
    <w:rsid w:val="126C479F"/>
    <w:rsid w:val="12A367ED"/>
    <w:rsid w:val="13FD0F88"/>
    <w:rsid w:val="159B2240"/>
    <w:rsid w:val="16297009"/>
    <w:rsid w:val="17327705"/>
    <w:rsid w:val="17EF4B51"/>
    <w:rsid w:val="19E979C1"/>
    <w:rsid w:val="1AFF0597"/>
    <w:rsid w:val="1BC25F36"/>
    <w:rsid w:val="1D2B3667"/>
    <w:rsid w:val="20D57D9D"/>
    <w:rsid w:val="215E4046"/>
    <w:rsid w:val="22A939AB"/>
    <w:rsid w:val="251E7116"/>
    <w:rsid w:val="260F6A7F"/>
    <w:rsid w:val="29420625"/>
    <w:rsid w:val="2B793244"/>
    <w:rsid w:val="2B97636B"/>
    <w:rsid w:val="2BD01A9C"/>
    <w:rsid w:val="2CB03B88"/>
    <w:rsid w:val="2CD9399D"/>
    <w:rsid w:val="2CF56DB2"/>
    <w:rsid w:val="2D393907"/>
    <w:rsid w:val="2FD45E73"/>
    <w:rsid w:val="30BB7FFF"/>
    <w:rsid w:val="31113541"/>
    <w:rsid w:val="31864425"/>
    <w:rsid w:val="323A3217"/>
    <w:rsid w:val="32867865"/>
    <w:rsid w:val="333A23FE"/>
    <w:rsid w:val="33751F41"/>
    <w:rsid w:val="340B152D"/>
    <w:rsid w:val="36845B1A"/>
    <w:rsid w:val="36DF3643"/>
    <w:rsid w:val="373650F3"/>
    <w:rsid w:val="394A5A77"/>
    <w:rsid w:val="3A1A2AA2"/>
    <w:rsid w:val="3A1B2846"/>
    <w:rsid w:val="3A721A85"/>
    <w:rsid w:val="3BD66A3C"/>
    <w:rsid w:val="3C5E2982"/>
    <w:rsid w:val="3CD04444"/>
    <w:rsid w:val="3D1E68EC"/>
    <w:rsid w:val="3D254AE0"/>
    <w:rsid w:val="3D531176"/>
    <w:rsid w:val="3DEA3115"/>
    <w:rsid w:val="3EF02D4C"/>
    <w:rsid w:val="3F9554E2"/>
    <w:rsid w:val="40325833"/>
    <w:rsid w:val="40C8729B"/>
    <w:rsid w:val="416D3E4A"/>
    <w:rsid w:val="42E35690"/>
    <w:rsid w:val="45E0240C"/>
    <w:rsid w:val="46195EA3"/>
    <w:rsid w:val="469B2D5C"/>
    <w:rsid w:val="47F04AD0"/>
    <w:rsid w:val="482B265C"/>
    <w:rsid w:val="4A0B6D7E"/>
    <w:rsid w:val="4B7C7600"/>
    <w:rsid w:val="4C0B3BF1"/>
    <w:rsid w:val="4D53613E"/>
    <w:rsid w:val="4D5C433B"/>
    <w:rsid w:val="4DBA3D6E"/>
    <w:rsid w:val="4E4F2DA9"/>
    <w:rsid w:val="4F8E4934"/>
    <w:rsid w:val="4FD82044"/>
    <w:rsid w:val="50B86D86"/>
    <w:rsid w:val="515C7009"/>
    <w:rsid w:val="54EA2115"/>
    <w:rsid w:val="556F5ADF"/>
    <w:rsid w:val="560E036F"/>
    <w:rsid w:val="57537740"/>
    <w:rsid w:val="57C01E34"/>
    <w:rsid w:val="58971D16"/>
    <w:rsid w:val="58AE3D77"/>
    <w:rsid w:val="58F5279F"/>
    <w:rsid w:val="592E180D"/>
    <w:rsid w:val="59505C28"/>
    <w:rsid w:val="5A6A2241"/>
    <w:rsid w:val="5C7B1CBA"/>
    <w:rsid w:val="5C875E04"/>
    <w:rsid w:val="5E1B7211"/>
    <w:rsid w:val="5FF27A39"/>
    <w:rsid w:val="601D2D07"/>
    <w:rsid w:val="604A05F0"/>
    <w:rsid w:val="61500B28"/>
    <w:rsid w:val="619F5A9B"/>
    <w:rsid w:val="63035135"/>
    <w:rsid w:val="63696264"/>
    <w:rsid w:val="63B76EED"/>
    <w:rsid w:val="6469054F"/>
    <w:rsid w:val="6486074F"/>
    <w:rsid w:val="655F16CC"/>
    <w:rsid w:val="662D11E6"/>
    <w:rsid w:val="68E21136"/>
    <w:rsid w:val="6A0B7FF4"/>
    <w:rsid w:val="6AE82F9C"/>
    <w:rsid w:val="6B0A211F"/>
    <w:rsid w:val="6B286B0A"/>
    <w:rsid w:val="6B5B6704"/>
    <w:rsid w:val="6BB52CD3"/>
    <w:rsid w:val="6D8F712D"/>
    <w:rsid w:val="6D9873F0"/>
    <w:rsid w:val="6E0A0B80"/>
    <w:rsid w:val="6E4969E0"/>
    <w:rsid w:val="6F311862"/>
    <w:rsid w:val="6FEA4288"/>
    <w:rsid w:val="7479696B"/>
    <w:rsid w:val="76213FAF"/>
    <w:rsid w:val="76640FFE"/>
    <w:rsid w:val="79200D1B"/>
    <w:rsid w:val="792C6CB9"/>
    <w:rsid w:val="79846746"/>
    <w:rsid w:val="79A436FA"/>
    <w:rsid w:val="79B30B21"/>
    <w:rsid w:val="7AAA04A8"/>
    <w:rsid w:val="7D222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next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7"/>
    <w:semiHidden/>
    <w:unhideWhenUsed/>
    <w:qFormat/>
    <w:uiPriority w:val="99"/>
    <w:pPr>
      <w:spacing w:after="120"/>
    </w:pPr>
    <w:rPr>
      <w:sz w:val="16"/>
      <w:szCs w:val="16"/>
    </w:rPr>
  </w:style>
  <w:style w:type="paragraph" w:styleId="11">
    <w:name w:val="Body Text"/>
    <w:basedOn w:val="1"/>
    <w:next w:val="1"/>
    <w:qFormat/>
    <w:uiPriority w:val="0"/>
    <w:pPr>
      <w:spacing w:after="120"/>
    </w:p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envelope return"/>
    <w:basedOn w:val="1"/>
    <w:qFormat/>
    <w:uiPriority w:val="0"/>
    <w:pPr>
      <w:snapToGrid w:val="0"/>
    </w:pPr>
    <w:rPr>
      <w:rFonts w:ascii="Arial" w:hAnsi="Arial"/>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Emphasis"/>
    <w:basedOn w:val="25"/>
    <w:qFormat/>
    <w:uiPriority w:val="20"/>
    <w:rPr>
      <w:i/>
      <w:i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0"/>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9"/>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21"/>
    <w:basedOn w:val="25"/>
    <w:qFormat/>
    <w:uiPriority w:val="0"/>
    <w:rPr>
      <w:rFonts w:hint="default" w:ascii="Times New Roman" w:hAnsi="Times New Roman" w:cs="Times New Roman"/>
      <w:color w:val="000000"/>
      <w:sz w:val="22"/>
      <w:szCs w:val="22"/>
      <w:u w:val="none"/>
    </w:rPr>
  </w:style>
  <w:style w:type="character" w:customStyle="1" w:styleId="58">
    <w:name w:val="font41"/>
    <w:basedOn w:val="25"/>
    <w:qFormat/>
    <w:uiPriority w:val="0"/>
    <w:rPr>
      <w:rFonts w:hint="eastAsia" w:ascii="宋体" w:hAnsi="宋体" w:eastAsia="宋体" w:cs="宋体"/>
      <w:color w:val="000000"/>
      <w:sz w:val="22"/>
      <w:szCs w:val="22"/>
      <w:u w:val="none"/>
    </w:rPr>
  </w:style>
  <w:style w:type="character" w:customStyle="1" w:styleId="59">
    <w:name w:val="font61"/>
    <w:basedOn w:val="25"/>
    <w:qFormat/>
    <w:uiPriority w:val="0"/>
    <w:rPr>
      <w:rFonts w:hint="default" w:ascii="Times New Roman" w:hAnsi="Times New Roman" w:cs="Times New Roman"/>
      <w:color w:val="000000"/>
      <w:sz w:val="22"/>
      <w:szCs w:val="22"/>
      <w:u w:val="none"/>
    </w:rPr>
  </w:style>
  <w:style w:type="paragraph" w:customStyle="1" w:styleId="60">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61">
    <w:name w:val="font11"/>
    <w:basedOn w:val="25"/>
    <w:qFormat/>
    <w:uiPriority w:val="0"/>
    <w:rPr>
      <w:rFonts w:ascii="微软雅黑" w:hAnsi="微软雅黑" w:eastAsia="微软雅黑" w:cs="微软雅黑"/>
      <w:color w:val="000000"/>
      <w:sz w:val="22"/>
      <w:szCs w:val="22"/>
      <w:u w:val="none"/>
    </w:rPr>
  </w:style>
  <w:style w:type="character" w:customStyle="1" w:styleId="62">
    <w:name w:val="font101"/>
    <w:basedOn w:val="2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21076</Words>
  <Characters>28339</Characters>
  <Lines>225</Lines>
  <Paragraphs>63</Paragraphs>
  <TotalTime>0</TotalTime>
  <ScaleCrop>false</ScaleCrop>
  <LinksUpToDate>false</LinksUpToDate>
  <CharactersWithSpaces>29860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2023-11-14T07:17:56Z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666B913E692A4D30AA99BF67D59FEB40_13</vt:lpwstr>
  </property>
</Properties>
</file>